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6E03" w14:textId="77777777" w:rsidR="004E2199" w:rsidRPr="00704014" w:rsidRDefault="004E2199" w:rsidP="00F065EA">
      <w:pPr>
        <w:jc w:val="right"/>
        <w:rPr>
          <w:rFonts w:ascii="Ping LCG Regular" w:hAnsi="Ping LCG Regular"/>
          <w:b/>
          <w:bCs/>
          <w:color w:val="000000"/>
          <w:sz w:val="40"/>
          <w:szCs w:val="40"/>
          <w:lang w:val="el-GR"/>
        </w:rPr>
      </w:pPr>
    </w:p>
    <w:p w14:paraId="2CCE5417" w14:textId="05167D48" w:rsidR="00054068" w:rsidRPr="00145FF1" w:rsidRDefault="00576B75" w:rsidP="00F065EA">
      <w:pPr>
        <w:jc w:val="right"/>
        <w:rPr>
          <w:rFonts w:ascii="Ping LCG Regular" w:hAnsi="Ping LCG Regular"/>
          <w:b/>
          <w:bCs/>
          <w:color w:val="FFFFFF" w:themeColor="background1"/>
          <w:sz w:val="40"/>
          <w:szCs w:val="40"/>
          <w:lang w:val="el-GR"/>
        </w:rPr>
      </w:pPr>
      <w:r>
        <w:rPr>
          <w:rFonts w:ascii="Ping LCG Regular" w:hAnsi="Ping LCG Regular"/>
          <w:b/>
          <w:bCs/>
          <w:color w:val="FFFFFF" w:themeColor="background1"/>
          <w:sz w:val="40"/>
          <w:szCs w:val="40"/>
          <w:lang w:val="el-GR"/>
        </w:rPr>
        <w:t>Δελτίο Τύπου</w:t>
      </w:r>
    </w:p>
    <w:p w14:paraId="785BA584" w14:textId="77777777" w:rsidR="00054068" w:rsidRPr="00145FF1" w:rsidRDefault="00054068" w:rsidP="00054068">
      <w:pPr>
        <w:rPr>
          <w:rFonts w:ascii="Ping LCG Regular" w:hAnsi="Ping LCG Regular"/>
          <w:b/>
          <w:bCs/>
          <w:color w:val="000000"/>
          <w:sz w:val="28"/>
          <w:szCs w:val="28"/>
          <w:lang w:val="el-GR"/>
        </w:rPr>
      </w:pPr>
    </w:p>
    <w:p w14:paraId="5CB67630" w14:textId="0EA9F8D2" w:rsidR="00054068" w:rsidRPr="00145FF1" w:rsidRDefault="00576B75" w:rsidP="0080532B">
      <w:pPr>
        <w:tabs>
          <w:tab w:val="left" w:pos="2127"/>
        </w:tabs>
        <w:ind w:left="1276"/>
        <w:jc w:val="right"/>
        <w:rPr>
          <w:rFonts w:ascii="Ping LCG Regular" w:hAnsi="Ping LCG Regular"/>
          <w:sz w:val="22"/>
          <w:szCs w:val="22"/>
          <w:lang w:val="el-GR"/>
        </w:rPr>
      </w:pPr>
      <w:r>
        <w:rPr>
          <w:rFonts w:ascii="Ping LCG Regular" w:hAnsi="Ping LCG Regular"/>
          <w:sz w:val="22"/>
          <w:szCs w:val="22"/>
          <w:lang w:val="el-GR"/>
        </w:rPr>
        <w:t xml:space="preserve">20 Μαΐου </w:t>
      </w:r>
      <w:r w:rsidR="00764096" w:rsidRPr="00145FF1">
        <w:rPr>
          <w:rFonts w:ascii="Ping LCG Regular" w:hAnsi="Ping LCG Regular"/>
          <w:sz w:val="22"/>
          <w:szCs w:val="22"/>
          <w:lang w:val="el-GR"/>
        </w:rPr>
        <w:t>2024</w:t>
      </w:r>
    </w:p>
    <w:p w14:paraId="18C53B2E" w14:textId="77777777" w:rsidR="00585A7A" w:rsidRPr="00145FF1" w:rsidRDefault="00585A7A" w:rsidP="00585A7A">
      <w:pPr>
        <w:jc w:val="center"/>
        <w:rPr>
          <w:rFonts w:ascii="Ping LCG Regular" w:hAnsi="Ping LCG Regular" w:cstheme="minorHAnsi"/>
          <w:b/>
          <w:bCs/>
          <w:sz w:val="28"/>
          <w:szCs w:val="28"/>
          <w:highlight w:val="yellow"/>
          <w:lang w:val="el-GR"/>
        </w:rPr>
      </w:pPr>
    </w:p>
    <w:p w14:paraId="5E2F08F6" w14:textId="6650CB19" w:rsidR="00145FF1" w:rsidRDefault="009C711F" w:rsidP="00145FF1">
      <w:pPr>
        <w:jc w:val="center"/>
        <w:rPr>
          <w:rFonts w:ascii="Ping LCG Regular" w:hAnsi="Ping LCG Regular" w:cstheme="minorHAnsi"/>
          <w:b/>
          <w:bCs/>
          <w:sz w:val="28"/>
          <w:szCs w:val="28"/>
          <w:lang w:val="el-GR"/>
        </w:rPr>
      </w:pPr>
      <w:r w:rsidRPr="000B2640">
        <w:rPr>
          <w:rFonts w:ascii="Ping LCG Regular" w:hAnsi="Ping LCG Regular" w:cstheme="minorHAnsi"/>
          <w:b/>
          <w:bCs/>
          <w:sz w:val="28"/>
          <w:szCs w:val="28"/>
          <w:lang w:val="el-GR"/>
        </w:rPr>
        <w:t xml:space="preserve">Ισχυρά αποτελέσματα </w:t>
      </w:r>
      <w:r w:rsidR="009D3794" w:rsidRPr="000B2640">
        <w:rPr>
          <w:rFonts w:ascii="Ping LCG Regular" w:hAnsi="Ping LCG Regular" w:cstheme="minorHAnsi"/>
          <w:b/>
          <w:bCs/>
          <w:sz w:val="28"/>
          <w:szCs w:val="28"/>
          <w:lang w:val="el-GR"/>
        </w:rPr>
        <w:t>α΄</w:t>
      </w:r>
      <w:r w:rsidRPr="000B2640">
        <w:rPr>
          <w:rFonts w:ascii="Ping LCG Regular" w:hAnsi="Ping LCG Regular" w:cstheme="minorHAnsi"/>
          <w:b/>
          <w:bCs/>
          <w:sz w:val="28"/>
          <w:szCs w:val="28"/>
          <w:lang w:val="el-GR"/>
        </w:rPr>
        <w:t xml:space="preserve"> τριμήνου </w:t>
      </w:r>
      <w:r w:rsidR="00721B6A" w:rsidRPr="00704014">
        <w:rPr>
          <w:rFonts w:ascii="Ping LCG Regular" w:hAnsi="Ping LCG Regular" w:cstheme="minorHAnsi"/>
          <w:b/>
          <w:bCs/>
          <w:sz w:val="28"/>
          <w:szCs w:val="28"/>
          <w:lang w:val="el-GR"/>
        </w:rPr>
        <w:t xml:space="preserve">2024 </w:t>
      </w:r>
      <w:r w:rsidRPr="000B2640">
        <w:rPr>
          <w:rFonts w:ascii="Ping LCG Regular" w:hAnsi="Ping LCG Regular" w:cstheme="minorHAnsi"/>
          <w:b/>
          <w:bCs/>
          <w:sz w:val="28"/>
          <w:szCs w:val="28"/>
          <w:lang w:val="el-GR"/>
        </w:rPr>
        <w:t>για τη ΔΕΗ με</w:t>
      </w:r>
      <w:r w:rsidRPr="009C711F">
        <w:rPr>
          <w:rFonts w:ascii="Ping LCG Regular" w:hAnsi="Ping LCG Regular" w:cstheme="minorHAnsi"/>
          <w:b/>
          <w:bCs/>
          <w:sz w:val="28"/>
          <w:szCs w:val="28"/>
          <w:lang w:val="el-GR"/>
        </w:rPr>
        <w:t xml:space="preserve"> επαναλαμβανόμεν</w:t>
      </w:r>
      <w:r w:rsidR="00943253">
        <w:rPr>
          <w:rFonts w:ascii="Ping LCG Regular" w:hAnsi="Ping LCG Regular" w:cstheme="minorHAnsi"/>
          <w:b/>
          <w:bCs/>
          <w:sz w:val="28"/>
          <w:szCs w:val="28"/>
        </w:rPr>
        <w:t>o</w:t>
      </w:r>
      <w:r w:rsidRPr="009C711F">
        <w:rPr>
          <w:rFonts w:ascii="Ping LCG Regular" w:hAnsi="Ping LCG Regular" w:cstheme="minorHAnsi"/>
          <w:b/>
          <w:bCs/>
          <w:sz w:val="28"/>
          <w:szCs w:val="28"/>
          <w:lang w:val="el-GR"/>
        </w:rPr>
        <w:t xml:space="preserve"> EBITDA στα €459</w:t>
      </w:r>
      <w:r w:rsidR="00721B6A" w:rsidRPr="00704014">
        <w:rPr>
          <w:rFonts w:ascii="Ping LCG Regular" w:hAnsi="Ping LCG Regular" w:cstheme="minorHAnsi"/>
          <w:b/>
          <w:bCs/>
          <w:sz w:val="28"/>
          <w:szCs w:val="28"/>
          <w:lang w:val="el-GR"/>
        </w:rPr>
        <w:t xml:space="preserve"> </w:t>
      </w:r>
      <w:r w:rsidRPr="009C711F">
        <w:rPr>
          <w:rFonts w:ascii="Ping LCG Regular" w:hAnsi="Ping LCG Regular" w:cstheme="minorHAnsi"/>
          <w:b/>
          <w:bCs/>
          <w:sz w:val="28"/>
          <w:szCs w:val="28"/>
          <w:lang w:val="el-GR"/>
        </w:rPr>
        <w:t>εκ</w:t>
      </w:r>
      <w:r>
        <w:rPr>
          <w:rFonts w:ascii="Ping LCG Regular" w:hAnsi="Ping LCG Regular" w:cstheme="minorHAnsi"/>
          <w:b/>
          <w:bCs/>
          <w:sz w:val="28"/>
          <w:szCs w:val="28"/>
          <w:lang w:val="el-GR"/>
        </w:rPr>
        <w:t>ατ.</w:t>
      </w:r>
    </w:p>
    <w:p w14:paraId="2D306ACA" w14:textId="77777777" w:rsidR="009C711F" w:rsidRPr="009C711F" w:rsidRDefault="009C711F" w:rsidP="00145FF1">
      <w:pPr>
        <w:jc w:val="center"/>
        <w:rPr>
          <w:rFonts w:ascii="Ping LCG Regular" w:hAnsi="Ping LCG Regular"/>
          <w:b/>
          <w:bCs/>
          <w:sz w:val="28"/>
          <w:szCs w:val="28"/>
          <w:highlight w:val="yellow"/>
          <w:lang w:val="el-GR"/>
        </w:rPr>
      </w:pPr>
    </w:p>
    <w:p w14:paraId="06030DCD" w14:textId="133F150A" w:rsidR="00145FF1" w:rsidRPr="009D3794" w:rsidRDefault="00C358A8" w:rsidP="00536A41">
      <w:pPr>
        <w:pStyle w:val="ListParagraph"/>
        <w:numPr>
          <w:ilvl w:val="0"/>
          <w:numId w:val="4"/>
        </w:numPr>
        <w:ind w:hanging="218"/>
        <w:jc w:val="both"/>
        <w:rPr>
          <w:rFonts w:ascii="Ping LCG Regular" w:hAnsi="Ping LCG Regular"/>
          <w:i/>
          <w:iCs/>
          <w:sz w:val="22"/>
          <w:szCs w:val="22"/>
          <w:lang w:val="el-GR"/>
        </w:rPr>
      </w:pPr>
      <w:r w:rsidRPr="009D3794">
        <w:rPr>
          <w:rFonts w:ascii="Ping LCG Regular" w:hAnsi="Ping LCG Regular"/>
          <w:i/>
          <w:iCs/>
          <w:sz w:val="22"/>
          <w:szCs w:val="22"/>
          <w:lang w:val="el-GR"/>
        </w:rPr>
        <w:t>Ε</w:t>
      </w:r>
      <w:r w:rsidR="00536A41" w:rsidRPr="009D3794">
        <w:rPr>
          <w:rFonts w:ascii="Ping LCG Regular" w:hAnsi="Ping LCG Regular"/>
          <w:i/>
          <w:iCs/>
          <w:sz w:val="22"/>
          <w:szCs w:val="22"/>
          <w:lang w:val="el-GR"/>
        </w:rPr>
        <w:t>γκατεστημένη ι</w:t>
      </w:r>
      <w:r w:rsidR="00943253" w:rsidRPr="009D3794">
        <w:rPr>
          <w:rFonts w:ascii="Ping LCG Regular" w:hAnsi="Ping LCG Regular"/>
          <w:i/>
          <w:iCs/>
          <w:sz w:val="22"/>
          <w:szCs w:val="22"/>
          <w:lang w:val="el-GR"/>
        </w:rPr>
        <w:t>σχύς</w:t>
      </w:r>
      <w:r w:rsidR="00145FF1" w:rsidRPr="009D3794">
        <w:rPr>
          <w:rFonts w:ascii="Ping LCG Regular" w:hAnsi="Ping LCG Regular"/>
          <w:i/>
          <w:iCs/>
          <w:sz w:val="22"/>
          <w:szCs w:val="22"/>
          <w:lang w:val="el-GR"/>
        </w:rPr>
        <w:t xml:space="preserve"> </w:t>
      </w:r>
      <w:r w:rsidR="00536A41" w:rsidRPr="009D3794">
        <w:rPr>
          <w:rFonts w:ascii="Ping LCG Regular" w:hAnsi="Ping LCG Regular"/>
          <w:i/>
          <w:iCs/>
          <w:sz w:val="22"/>
          <w:szCs w:val="22"/>
          <w:lang w:val="el-GR"/>
        </w:rPr>
        <w:t>σε</w:t>
      </w:r>
      <w:r w:rsidR="00145FF1" w:rsidRPr="009D3794">
        <w:rPr>
          <w:rFonts w:ascii="Ping LCG Regular" w:hAnsi="Ping LCG Regular"/>
          <w:i/>
          <w:iCs/>
          <w:sz w:val="22"/>
          <w:szCs w:val="22"/>
          <w:lang w:val="el-GR"/>
        </w:rPr>
        <w:t xml:space="preserve"> ΑΠΕ </w:t>
      </w:r>
      <w:r w:rsidRPr="009D3794">
        <w:rPr>
          <w:rFonts w:ascii="Ping LCG Regular" w:hAnsi="Ping LCG Regular"/>
          <w:i/>
          <w:iCs/>
          <w:sz w:val="22"/>
          <w:szCs w:val="22"/>
          <w:lang w:val="el-GR"/>
        </w:rPr>
        <w:t xml:space="preserve">ύψους </w:t>
      </w:r>
      <w:r w:rsidR="0025482C" w:rsidRPr="0025482C">
        <w:rPr>
          <w:rFonts w:ascii="Ping LCG Regular" w:hAnsi="Ping LCG Regular"/>
          <w:i/>
          <w:iCs/>
          <w:sz w:val="22"/>
          <w:szCs w:val="22"/>
          <w:lang w:val="el-GR"/>
        </w:rPr>
        <w:t>4</w:t>
      </w:r>
      <w:r w:rsidRPr="009D3794">
        <w:rPr>
          <w:rFonts w:ascii="Ping LCG Regular" w:hAnsi="Ping LCG Regular"/>
          <w:i/>
          <w:iCs/>
          <w:sz w:val="22"/>
          <w:szCs w:val="22"/>
          <w:lang w:val="el-GR"/>
        </w:rPr>
        <w:t>,</w:t>
      </w:r>
      <w:r w:rsidR="0025482C" w:rsidRPr="0025482C">
        <w:rPr>
          <w:rFonts w:ascii="Ping LCG Regular" w:hAnsi="Ping LCG Regular"/>
          <w:i/>
          <w:iCs/>
          <w:sz w:val="22"/>
          <w:szCs w:val="22"/>
          <w:lang w:val="el-GR"/>
        </w:rPr>
        <w:t>7</w:t>
      </w:r>
      <w:r w:rsidRPr="009D3794">
        <w:rPr>
          <w:rFonts w:ascii="Ping LCG Regular" w:hAnsi="Ping LCG Regular"/>
          <w:i/>
          <w:iCs/>
          <w:sz w:val="22"/>
          <w:szCs w:val="22"/>
        </w:rPr>
        <w:t>GW</w:t>
      </w:r>
      <w:r w:rsidRPr="009D3794">
        <w:rPr>
          <w:rFonts w:ascii="Ping LCG Regular" w:hAnsi="Ping LCG Regular"/>
          <w:i/>
          <w:iCs/>
          <w:sz w:val="22"/>
          <w:szCs w:val="22"/>
          <w:lang w:val="el-GR"/>
        </w:rPr>
        <w:t xml:space="preserve"> </w:t>
      </w:r>
      <w:r w:rsidR="00536A41" w:rsidRPr="009D3794">
        <w:rPr>
          <w:rFonts w:ascii="Ping LCG Regular" w:hAnsi="Ping LCG Regular"/>
          <w:i/>
          <w:iCs/>
          <w:sz w:val="22"/>
          <w:szCs w:val="22"/>
          <w:lang w:val="el-GR"/>
        </w:rPr>
        <w:t xml:space="preserve">με </w:t>
      </w:r>
      <w:r w:rsidR="00DF0CAB" w:rsidRPr="009D3794">
        <w:rPr>
          <w:rFonts w:ascii="Ping LCG Regular" w:hAnsi="Ping LCG Regular"/>
          <w:i/>
          <w:iCs/>
          <w:sz w:val="22"/>
          <w:szCs w:val="22"/>
          <w:lang w:val="el-GR"/>
        </w:rPr>
        <w:t>εξασφαλισμένα</w:t>
      </w:r>
      <w:r w:rsidR="00513E77" w:rsidRPr="009D3794">
        <w:rPr>
          <w:rFonts w:ascii="Ping LCG Regular" w:hAnsi="Ping LCG Regular"/>
          <w:i/>
          <w:iCs/>
          <w:sz w:val="22"/>
          <w:szCs w:val="22"/>
          <w:lang w:val="el-GR"/>
        </w:rPr>
        <w:t xml:space="preserve"> έργα </w:t>
      </w:r>
      <w:r w:rsidR="00145FF1" w:rsidRPr="009D3794">
        <w:rPr>
          <w:rFonts w:ascii="Ping LCG Regular" w:hAnsi="Ping LCG Regular"/>
          <w:i/>
          <w:iCs/>
          <w:sz w:val="22"/>
          <w:szCs w:val="22"/>
          <w:lang w:val="el-GR"/>
        </w:rPr>
        <w:t>2,</w:t>
      </w:r>
      <w:r w:rsidR="003560DD" w:rsidRPr="003560DD">
        <w:rPr>
          <w:rFonts w:ascii="Ping LCG Regular" w:hAnsi="Ping LCG Regular"/>
          <w:i/>
          <w:iCs/>
          <w:sz w:val="22"/>
          <w:szCs w:val="22"/>
          <w:lang w:val="el-GR"/>
        </w:rPr>
        <w:t>8</w:t>
      </w:r>
      <w:r w:rsidR="00145FF1" w:rsidRPr="009D3794">
        <w:rPr>
          <w:rFonts w:ascii="Ping LCG Regular" w:hAnsi="Ping LCG Regular"/>
          <w:i/>
          <w:iCs/>
          <w:sz w:val="22"/>
          <w:szCs w:val="22"/>
          <w:lang w:val="el-GR"/>
        </w:rPr>
        <w:t xml:space="preserve"> </w:t>
      </w:r>
      <w:r w:rsidR="00145FF1" w:rsidRPr="009D3794">
        <w:rPr>
          <w:rFonts w:ascii="Ping LCG Regular" w:hAnsi="Ping LCG Regular"/>
          <w:i/>
          <w:iCs/>
          <w:sz w:val="22"/>
          <w:szCs w:val="22"/>
        </w:rPr>
        <w:t>GW</w:t>
      </w:r>
      <w:r w:rsidR="00145FF1" w:rsidRPr="009D3794">
        <w:rPr>
          <w:rFonts w:ascii="Ping LCG Regular" w:hAnsi="Ping LCG Regular"/>
          <w:i/>
          <w:iCs/>
          <w:sz w:val="22"/>
          <w:szCs w:val="22"/>
          <w:lang w:val="el-GR"/>
        </w:rPr>
        <w:t xml:space="preserve"> για την επίτευξη του στόχου </w:t>
      </w:r>
      <w:r w:rsidR="00F569CC" w:rsidRPr="009D3794">
        <w:rPr>
          <w:rFonts w:ascii="Ping LCG Regular" w:hAnsi="Ping LCG Regular"/>
          <w:i/>
          <w:iCs/>
          <w:sz w:val="22"/>
          <w:szCs w:val="22"/>
          <w:lang w:val="el-GR"/>
        </w:rPr>
        <w:t xml:space="preserve">των </w:t>
      </w:r>
      <w:r w:rsidR="0025482C" w:rsidRPr="0025482C">
        <w:rPr>
          <w:rFonts w:ascii="Ping LCG Regular" w:hAnsi="Ping LCG Regular"/>
          <w:i/>
          <w:iCs/>
          <w:sz w:val="22"/>
          <w:szCs w:val="22"/>
          <w:lang w:val="el-GR"/>
        </w:rPr>
        <w:t>8,</w:t>
      </w:r>
      <w:r w:rsidR="0025482C" w:rsidRPr="003560DD">
        <w:rPr>
          <w:rFonts w:ascii="Ping LCG Regular" w:hAnsi="Ping LCG Regular"/>
          <w:i/>
          <w:iCs/>
          <w:sz w:val="22"/>
          <w:szCs w:val="22"/>
          <w:lang w:val="el-GR"/>
        </w:rPr>
        <w:t>9</w:t>
      </w:r>
      <w:r w:rsidR="00F569CC" w:rsidRPr="009D3794">
        <w:rPr>
          <w:rFonts w:ascii="Ping LCG Regular" w:hAnsi="Ping LCG Regular"/>
          <w:i/>
          <w:iCs/>
          <w:sz w:val="22"/>
          <w:szCs w:val="22"/>
        </w:rPr>
        <w:t>GW</w:t>
      </w:r>
      <w:r w:rsidR="00F569CC" w:rsidRPr="009D3794">
        <w:rPr>
          <w:rFonts w:ascii="Ping LCG Regular" w:hAnsi="Ping LCG Regular"/>
          <w:i/>
          <w:iCs/>
          <w:sz w:val="22"/>
          <w:szCs w:val="22"/>
          <w:lang w:val="el-GR"/>
        </w:rPr>
        <w:t xml:space="preserve"> </w:t>
      </w:r>
      <w:r w:rsidR="00145FF1" w:rsidRPr="009D3794">
        <w:rPr>
          <w:rFonts w:ascii="Ping LCG Regular" w:hAnsi="Ping LCG Regular"/>
          <w:i/>
          <w:iCs/>
          <w:sz w:val="22"/>
          <w:szCs w:val="22"/>
          <w:lang w:val="el-GR"/>
        </w:rPr>
        <w:t>το 2026</w:t>
      </w:r>
    </w:p>
    <w:p w14:paraId="3E353309" w14:textId="0B0F6B3F" w:rsidR="00145FF1" w:rsidRPr="009D3794" w:rsidRDefault="00145FF1" w:rsidP="00145FF1">
      <w:pPr>
        <w:pStyle w:val="ListParagraph"/>
        <w:numPr>
          <w:ilvl w:val="0"/>
          <w:numId w:val="4"/>
        </w:numPr>
        <w:ind w:hanging="218"/>
        <w:jc w:val="both"/>
        <w:rPr>
          <w:rFonts w:ascii="Ping LCG Regular" w:hAnsi="Ping LCG Regular"/>
          <w:i/>
          <w:iCs/>
          <w:sz w:val="22"/>
          <w:szCs w:val="22"/>
          <w:lang w:val="el-GR"/>
        </w:rPr>
      </w:pPr>
      <w:r w:rsidRPr="009D3794">
        <w:rPr>
          <w:rFonts w:ascii="Ping LCG Regular" w:hAnsi="Ping LCG Regular"/>
          <w:i/>
          <w:iCs/>
          <w:sz w:val="22"/>
          <w:szCs w:val="22"/>
          <w:lang w:val="el-GR"/>
        </w:rPr>
        <w:t xml:space="preserve">Μείωση των εκπομπών </w:t>
      </w:r>
      <w:r w:rsidRPr="009D3794">
        <w:rPr>
          <w:rFonts w:ascii="Ping LCG Regular" w:hAnsi="Ping LCG Regular"/>
          <w:i/>
          <w:iCs/>
          <w:sz w:val="22"/>
          <w:szCs w:val="22"/>
        </w:rPr>
        <w:t>CO</w:t>
      </w:r>
      <w:r w:rsidRPr="009D3794">
        <w:rPr>
          <w:rFonts w:ascii="Ping LCG Regular" w:hAnsi="Ping LCG Regular"/>
          <w:i/>
          <w:iCs/>
          <w:sz w:val="22"/>
          <w:szCs w:val="22"/>
          <w:vertAlign w:val="subscript"/>
          <w:lang w:val="el-GR"/>
        </w:rPr>
        <w:t xml:space="preserve">2  </w:t>
      </w:r>
      <w:r w:rsidR="00953577">
        <w:rPr>
          <w:rFonts w:ascii="Ping LCG Regular" w:hAnsi="Ping LCG Regular"/>
          <w:i/>
          <w:iCs/>
          <w:sz w:val="22"/>
          <w:szCs w:val="22"/>
          <w:lang w:val="el-GR"/>
        </w:rPr>
        <w:t>(</w:t>
      </w:r>
      <w:r w:rsidR="00953577" w:rsidRPr="009D3794">
        <w:rPr>
          <w:rFonts w:ascii="Ping LCG Regular" w:hAnsi="Ping LCG Regular"/>
          <w:i/>
          <w:iCs/>
          <w:sz w:val="22"/>
          <w:szCs w:val="22"/>
        </w:rPr>
        <w:t>Scope</w:t>
      </w:r>
      <w:r w:rsidR="00953577" w:rsidRPr="009D3794">
        <w:rPr>
          <w:rFonts w:ascii="Ping LCG Regular" w:hAnsi="Ping LCG Regular"/>
          <w:i/>
          <w:iCs/>
          <w:sz w:val="22"/>
          <w:szCs w:val="22"/>
          <w:lang w:val="el-GR"/>
        </w:rPr>
        <w:t xml:space="preserve"> 1</w:t>
      </w:r>
      <w:r w:rsidR="00953577">
        <w:rPr>
          <w:rFonts w:ascii="Ping LCG Regular" w:hAnsi="Ping LCG Regular"/>
          <w:i/>
          <w:iCs/>
          <w:sz w:val="22"/>
          <w:szCs w:val="22"/>
          <w:lang w:val="el-GR"/>
        </w:rPr>
        <w:t>) κ</w:t>
      </w:r>
      <w:r w:rsidRPr="009D3794">
        <w:rPr>
          <w:rFonts w:ascii="Ping LCG Regular" w:hAnsi="Ping LCG Regular"/>
          <w:i/>
          <w:iCs/>
          <w:sz w:val="22"/>
          <w:szCs w:val="22"/>
          <w:lang w:val="el-GR"/>
        </w:rPr>
        <w:t xml:space="preserve">ατά </w:t>
      </w:r>
      <w:r w:rsidR="00DE2CC4" w:rsidRPr="009D3794">
        <w:rPr>
          <w:rFonts w:ascii="Ping LCG Regular" w:hAnsi="Ping LCG Regular"/>
          <w:i/>
          <w:iCs/>
          <w:sz w:val="22"/>
          <w:szCs w:val="22"/>
          <w:lang w:val="el-GR"/>
        </w:rPr>
        <w:t>18</w:t>
      </w:r>
      <w:r w:rsidRPr="009D3794">
        <w:rPr>
          <w:rFonts w:ascii="Ping LCG Regular" w:hAnsi="Ping LCG Regular"/>
          <w:i/>
          <w:iCs/>
          <w:sz w:val="22"/>
          <w:szCs w:val="22"/>
          <w:lang w:val="el-GR"/>
        </w:rPr>
        <w:t xml:space="preserve">% </w:t>
      </w:r>
      <w:r w:rsidR="00DE2CC4" w:rsidRPr="009D3794">
        <w:rPr>
          <w:rFonts w:ascii="Ping LCG Regular" w:hAnsi="Ping LCG Regular"/>
          <w:i/>
          <w:iCs/>
          <w:sz w:val="22"/>
          <w:szCs w:val="22"/>
          <w:lang w:val="el-GR"/>
        </w:rPr>
        <w:t xml:space="preserve">με </w:t>
      </w:r>
      <w:r w:rsidR="005E30E1" w:rsidRPr="009D3794">
        <w:rPr>
          <w:rFonts w:ascii="Ping LCG Regular" w:hAnsi="Ping LCG Regular"/>
          <w:i/>
          <w:iCs/>
          <w:sz w:val="22"/>
          <w:szCs w:val="22"/>
          <w:lang w:val="el-GR"/>
        </w:rPr>
        <w:t>μείωση της</w:t>
      </w:r>
      <w:r w:rsidR="00DB48A5" w:rsidRPr="00704014">
        <w:rPr>
          <w:rFonts w:ascii="Ping LCG Regular" w:hAnsi="Ping LCG Regular"/>
          <w:i/>
          <w:iCs/>
          <w:sz w:val="22"/>
          <w:szCs w:val="22"/>
          <w:lang w:val="el-GR"/>
        </w:rPr>
        <w:t xml:space="preserve"> </w:t>
      </w:r>
      <w:r w:rsidR="00DB48A5">
        <w:rPr>
          <w:rFonts w:ascii="Ping LCG Regular" w:hAnsi="Ping LCG Regular"/>
          <w:i/>
          <w:iCs/>
          <w:sz w:val="22"/>
          <w:szCs w:val="22"/>
          <w:lang w:val="el-GR"/>
        </w:rPr>
        <w:t xml:space="preserve">λιγνιτικής παραγωγής κατά </w:t>
      </w:r>
      <w:r w:rsidR="002969E9">
        <w:rPr>
          <w:rFonts w:ascii="Ping LCG Regular" w:hAnsi="Ping LCG Regular"/>
          <w:i/>
          <w:iCs/>
          <w:sz w:val="22"/>
          <w:szCs w:val="22"/>
          <w:lang w:val="el-GR"/>
        </w:rPr>
        <w:t>27%</w:t>
      </w:r>
      <w:r w:rsidR="00DE2CC4" w:rsidRPr="009D3794">
        <w:rPr>
          <w:rFonts w:ascii="Ping LCG Regular" w:hAnsi="Ping LCG Regular"/>
          <w:i/>
          <w:iCs/>
          <w:sz w:val="22"/>
          <w:szCs w:val="22"/>
          <w:lang w:val="el-GR"/>
        </w:rPr>
        <w:t xml:space="preserve"> </w:t>
      </w:r>
      <w:r w:rsidR="00E71D63">
        <w:rPr>
          <w:rFonts w:ascii="Ping LCG Regular" w:hAnsi="Ping LCG Regular"/>
          <w:i/>
          <w:iCs/>
          <w:sz w:val="22"/>
          <w:szCs w:val="22"/>
          <w:lang w:val="el-GR"/>
        </w:rPr>
        <w:t>σε σχέση με το α’ τρίμηνο 2023</w:t>
      </w:r>
    </w:p>
    <w:p w14:paraId="19F3B7A3" w14:textId="347A941E" w:rsidR="00145FF1" w:rsidRPr="00144C7A" w:rsidRDefault="006C5B5A" w:rsidP="00145FF1">
      <w:pPr>
        <w:pStyle w:val="ListParagraph"/>
        <w:numPr>
          <w:ilvl w:val="0"/>
          <w:numId w:val="4"/>
        </w:numPr>
        <w:ind w:hanging="218"/>
        <w:jc w:val="both"/>
        <w:rPr>
          <w:rFonts w:ascii="Ping LCG Regular" w:hAnsi="Ping LCG Regular"/>
          <w:i/>
          <w:iCs/>
          <w:sz w:val="22"/>
          <w:szCs w:val="22"/>
          <w:lang w:val="el-GR"/>
        </w:rPr>
      </w:pPr>
      <w:r>
        <w:rPr>
          <w:rFonts w:ascii="Ping LCG Regular" w:hAnsi="Ping LCG Regular"/>
          <w:i/>
          <w:iCs/>
          <w:sz w:val="22"/>
          <w:szCs w:val="22"/>
          <w:lang w:val="el-GR"/>
        </w:rPr>
        <w:t>Επενδύσεις ύψους €420 εκατ.</w:t>
      </w:r>
      <w:r w:rsidR="00145FF1" w:rsidRPr="00144C7A">
        <w:rPr>
          <w:rFonts w:ascii="Ping LCG Regular" w:hAnsi="Ping LCG Regular"/>
          <w:i/>
          <w:iCs/>
          <w:sz w:val="22"/>
          <w:szCs w:val="22"/>
          <w:lang w:val="el-GR"/>
        </w:rPr>
        <w:t xml:space="preserve"> σε έργα ΑΠΕ και Διανομής</w:t>
      </w:r>
      <w:r w:rsidR="00F80478" w:rsidRPr="00144C7A">
        <w:rPr>
          <w:rFonts w:ascii="Ping LCG Regular" w:hAnsi="Ping LCG Regular"/>
          <w:i/>
          <w:iCs/>
          <w:sz w:val="22"/>
          <w:szCs w:val="22"/>
          <w:lang w:val="el-GR"/>
        </w:rPr>
        <w:t xml:space="preserve"> μετατρέποντας τη ΔΕΗ σε</w:t>
      </w:r>
      <w:r w:rsidR="00B016E0" w:rsidRPr="00144C7A">
        <w:rPr>
          <w:rFonts w:ascii="Ping LCG Regular" w:hAnsi="Ping LCG Regular"/>
          <w:i/>
          <w:iCs/>
          <w:sz w:val="22"/>
          <w:szCs w:val="22"/>
          <w:lang w:val="el-GR"/>
        </w:rPr>
        <w:t xml:space="preserve"> μια πιο «πράσινη» εταιρεία ηλεκτρικής ενέργειας με σύγχρονα δίκτυα</w:t>
      </w:r>
    </w:p>
    <w:p w14:paraId="35D8BA1D" w14:textId="3B80F15F" w:rsidR="00145FF1" w:rsidRPr="00C941C9" w:rsidRDefault="00282D49" w:rsidP="00145FF1">
      <w:pPr>
        <w:pStyle w:val="ListParagraph"/>
        <w:numPr>
          <w:ilvl w:val="0"/>
          <w:numId w:val="4"/>
        </w:numPr>
        <w:ind w:hanging="218"/>
        <w:jc w:val="both"/>
        <w:rPr>
          <w:rFonts w:ascii="Ping LCG Regular" w:hAnsi="Ping LCG Regular"/>
          <w:i/>
          <w:iCs/>
          <w:sz w:val="22"/>
          <w:szCs w:val="22"/>
          <w:lang w:val="el-GR"/>
        </w:rPr>
      </w:pPr>
      <w:r w:rsidRPr="00C941C9">
        <w:rPr>
          <w:rFonts w:ascii="Ping LCG Regular" w:hAnsi="Ping LCG Regular"/>
          <w:i/>
          <w:iCs/>
          <w:sz w:val="22"/>
          <w:szCs w:val="22"/>
          <w:lang w:val="el-GR"/>
        </w:rPr>
        <w:t>Ισχυρή</w:t>
      </w:r>
      <w:r w:rsidR="00145FF1" w:rsidRPr="00C941C9">
        <w:rPr>
          <w:rFonts w:ascii="Ping LCG Regular" w:hAnsi="Ping LCG Regular"/>
          <w:i/>
          <w:iCs/>
          <w:sz w:val="22"/>
          <w:szCs w:val="22"/>
          <w:lang w:val="el-GR"/>
        </w:rPr>
        <w:t xml:space="preserve"> χρηματοοικονομική θέση </w:t>
      </w:r>
      <w:r w:rsidR="00144C7A" w:rsidRPr="00C941C9">
        <w:rPr>
          <w:rFonts w:ascii="Ping LCG Regular" w:hAnsi="Ping LCG Regular"/>
          <w:i/>
          <w:iCs/>
          <w:sz w:val="22"/>
          <w:szCs w:val="22"/>
          <w:lang w:val="el-GR"/>
        </w:rPr>
        <w:t xml:space="preserve">παρά την επιτάχυνση των επενδύσεων </w:t>
      </w:r>
      <w:r w:rsidR="00145FF1" w:rsidRPr="00C941C9">
        <w:rPr>
          <w:rFonts w:ascii="Ping LCG Regular" w:hAnsi="Ping LCG Regular"/>
          <w:i/>
          <w:iCs/>
          <w:sz w:val="22"/>
          <w:szCs w:val="22"/>
          <w:lang w:val="el-GR"/>
        </w:rPr>
        <w:t>με τον δείκτη Καθαρό Χρέος/</w:t>
      </w:r>
      <w:r w:rsidR="00145FF1" w:rsidRPr="00C941C9">
        <w:rPr>
          <w:rFonts w:ascii="Ping LCG Regular" w:hAnsi="Ping LCG Regular"/>
          <w:i/>
          <w:iCs/>
          <w:sz w:val="22"/>
          <w:szCs w:val="22"/>
        </w:rPr>
        <w:t>EBITDA</w:t>
      </w:r>
      <w:r w:rsidR="00145FF1" w:rsidRPr="00C941C9">
        <w:rPr>
          <w:rFonts w:ascii="Ping LCG Regular" w:hAnsi="Ping LCG Regular"/>
          <w:i/>
          <w:iCs/>
          <w:sz w:val="22"/>
          <w:szCs w:val="22"/>
          <w:lang w:val="el-GR"/>
        </w:rPr>
        <w:t xml:space="preserve"> στο 2</w:t>
      </w:r>
      <w:r w:rsidR="00145FF1" w:rsidRPr="00C941C9">
        <w:rPr>
          <w:rFonts w:ascii="Ping LCG Regular" w:hAnsi="Ping LCG Regular"/>
          <w:i/>
          <w:iCs/>
          <w:sz w:val="22"/>
          <w:szCs w:val="22"/>
        </w:rPr>
        <w:t>x</w:t>
      </w:r>
      <w:r w:rsidRPr="00C941C9">
        <w:rPr>
          <w:rFonts w:ascii="Ping LCG Regular" w:hAnsi="Ping LCG Regular"/>
          <w:i/>
          <w:iCs/>
          <w:sz w:val="22"/>
          <w:szCs w:val="22"/>
          <w:lang w:val="el-GR"/>
        </w:rPr>
        <w:t xml:space="preserve"> </w:t>
      </w:r>
    </w:p>
    <w:p w14:paraId="76F4C061" w14:textId="21E854D7" w:rsidR="00145FF1" w:rsidRPr="00704014" w:rsidRDefault="00A63CE7" w:rsidP="00145FF1">
      <w:pPr>
        <w:pStyle w:val="ListParagraph"/>
        <w:numPr>
          <w:ilvl w:val="0"/>
          <w:numId w:val="4"/>
        </w:numPr>
        <w:ind w:hanging="218"/>
        <w:jc w:val="both"/>
        <w:rPr>
          <w:rFonts w:ascii="Ping LCG Regular" w:hAnsi="Ping LCG Regular"/>
          <w:i/>
          <w:iCs/>
          <w:sz w:val="22"/>
          <w:szCs w:val="22"/>
          <w:lang w:val="el-GR"/>
        </w:rPr>
      </w:pPr>
      <w:r w:rsidRPr="00704014">
        <w:rPr>
          <w:rFonts w:ascii="Ping LCG Regular" w:hAnsi="Ping LCG Regular"/>
          <w:i/>
          <w:iCs/>
          <w:sz w:val="22"/>
          <w:szCs w:val="22"/>
          <w:lang w:val="el-GR"/>
        </w:rPr>
        <w:t xml:space="preserve">Αναβάθμιση </w:t>
      </w:r>
      <w:r w:rsidR="00145FF1" w:rsidRPr="00704014">
        <w:rPr>
          <w:rFonts w:ascii="Ping LCG Regular" w:hAnsi="Ping LCG Regular"/>
          <w:i/>
          <w:iCs/>
          <w:sz w:val="22"/>
          <w:szCs w:val="22"/>
          <w:lang w:val="el-GR"/>
        </w:rPr>
        <w:t>των προοπτικών για το 2024 με εκτίμηση για επαναλαμβανόμενο EBITDA στα €1,</w:t>
      </w:r>
      <w:r w:rsidRPr="00704014">
        <w:rPr>
          <w:rFonts w:ascii="Ping LCG Regular" w:hAnsi="Ping LCG Regular"/>
          <w:i/>
          <w:iCs/>
          <w:sz w:val="22"/>
          <w:szCs w:val="22"/>
          <w:lang w:val="el-GR"/>
        </w:rPr>
        <w:t>8</w:t>
      </w:r>
      <w:r w:rsidR="00145FF1" w:rsidRPr="00704014">
        <w:rPr>
          <w:rFonts w:ascii="Ping LCG Regular" w:hAnsi="Ping LCG Regular"/>
          <w:i/>
          <w:iCs/>
          <w:sz w:val="22"/>
          <w:szCs w:val="22"/>
          <w:lang w:val="el-GR"/>
        </w:rPr>
        <w:t xml:space="preserve">δισ.  </w:t>
      </w:r>
    </w:p>
    <w:p w14:paraId="26853104" w14:textId="77777777" w:rsidR="00145FF1" w:rsidRPr="00DE2285" w:rsidRDefault="00145FF1" w:rsidP="00145FF1">
      <w:pPr>
        <w:jc w:val="both"/>
        <w:rPr>
          <w:rFonts w:ascii="Ping LCG Regular" w:hAnsi="Ping LCG Regular"/>
          <w:i/>
          <w:iCs/>
          <w:sz w:val="22"/>
          <w:szCs w:val="22"/>
          <w:highlight w:val="yellow"/>
          <w:lang w:val="el-GR"/>
        </w:rPr>
      </w:pPr>
    </w:p>
    <w:p w14:paraId="46796B06" w14:textId="77777777" w:rsidR="00D6527D" w:rsidRPr="00704014" w:rsidRDefault="00D6527D" w:rsidP="00C156B9">
      <w:pPr>
        <w:jc w:val="both"/>
        <w:rPr>
          <w:rFonts w:ascii="Ping LCG Regular" w:hAnsi="Ping LCG Regular"/>
          <w:b/>
          <w:bCs/>
          <w:color w:val="FF0000"/>
          <w:sz w:val="22"/>
          <w:szCs w:val="22"/>
          <w:lang w:val="el-GR"/>
        </w:rPr>
      </w:pPr>
    </w:p>
    <w:p w14:paraId="76480937" w14:textId="6159A0C4" w:rsidR="00C156B9" w:rsidRDefault="00C156B9" w:rsidP="00C156B9">
      <w:pPr>
        <w:jc w:val="both"/>
        <w:rPr>
          <w:rFonts w:ascii="Ping LCG Regular" w:hAnsi="Ping LCG Regular"/>
          <w:b/>
          <w:bCs/>
          <w:sz w:val="22"/>
          <w:szCs w:val="22"/>
        </w:rPr>
      </w:pPr>
      <w:r w:rsidRPr="003A69F9">
        <w:rPr>
          <w:rFonts w:ascii="Ping LCG Regular" w:hAnsi="Ping LCG Regular"/>
          <w:b/>
          <w:bCs/>
          <w:sz w:val="22"/>
          <w:szCs w:val="22"/>
          <w:lang w:val="el-GR"/>
        </w:rPr>
        <w:t>Βασικά Οικονομικά Μεγέθη</w:t>
      </w:r>
    </w:p>
    <w:p w14:paraId="31118BA1" w14:textId="77777777" w:rsidR="007C0FC3" w:rsidRPr="007C0FC3" w:rsidRDefault="007C0FC3" w:rsidP="00C156B9">
      <w:pPr>
        <w:jc w:val="both"/>
        <w:rPr>
          <w:rFonts w:ascii="Ping LCG Regular" w:hAnsi="Ping LCG Regular"/>
          <w:b/>
          <w:bCs/>
          <w:sz w:val="22"/>
          <w:szCs w:val="22"/>
        </w:rPr>
      </w:pPr>
    </w:p>
    <w:p w14:paraId="68B15793" w14:textId="23C7641A" w:rsidR="00C156B9" w:rsidRPr="00F54B62" w:rsidRDefault="007C0FC3" w:rsidP="00FE1DB5">
      <w:pPr>
        <w:jc w:val="both"/>
        <w:rPr>
          <w:rFonts w:ascii="Ping LCG Regular" w:hAnsi="Ping LCG Regular"/>
          <w:b/>
          <w:bCs/>
          <w:color w:val="FF0000"/>
          <w:sz w:val="22"/>
          <w:szCs w:val="22"/>
          <w:lang w:val="el-GR"/>
        </w:rPr>
      </w:pPr>
      <w:r>
        <w:rPr>
          <w:rFonts w:ascii="Ping LCG Regular" w:hAnsi="Ping LCG Regular"/>
          <w:b/>
          <w:bCs/>
          <w:noProof/>
          <w:color w:val="FF0000"/>
          <w:sz w:val="22"/>
          <w:szCs w:val="22"/>
          <w:lang w:val="el-GR"/>
        </w:rPr>
        <w:drawing>
          <wp:inline distT="0" distB="0" distL="0" distR="0" wp14:anchorId="78E10BA0" wp14:editId="3CEBE3AB">
            <wp:extent cx="5795752" cy="3005593"/>
            <wp:effectExtent l="0" t="0" r="0" b="4445"/>
            <wp:docPr id="1429467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8931" cy="3017614"/>
                    </a:xfrm>
                    <a:prstGeom prst="rect">
                      <a:avLst/>
                    </a:prstGeom>
                    <a:noFill/>
                  </pic:spPr>
                </pic:pic>
              </a:graphicData>
            </a:graphic>
          </wp:inline>
        </w:drawing>
      </w:r>
    </w:p>
    <w:p w14:paraId="61EB1C22" w14:textId="1DBB71DA" w:rsidR="00144C7A" w:rsidRPr="00F54B62" w:rsidRDefault="00144C7A">
      <w:pPr>
        <w:rPr>
          <w:b/>
          <w:bCs/>
          <w:szCs w:val="22"/>
          <w:highlight w:val="yellow"/>
          <w:lang w:val="el-GR"/>
        </w:rPr>
      </w:pPr>
    </w:p>
    <w:p w14:paraId="4700FC4C" w14:textId="77777777" w:rsidR="004737D9" w:rsidRPr="004737D9" w:rsidRDefault="004737D9">
      <w:pPr>
        <w:rPr>
          <w:rFonts w:ascii="Ping LCG Regular" w:hAnsi="Ping LCG Regular"/>
          <w:b/>
          <w:bCs/>
          <w:sz w:val="22"/>
          <w:szCs w:val="22"/>
          <w:highlight w:val="yellow"/>
          <w:lang w:val="el-GR"/>
        </w:rPr>
      </w:pPr>
    </w:p>
    <w:p w14:paraId="16A0A4A9" w14:textId="77777777" w:rsidR="003955A8" w:rsidRDefault="003955A8">
      <w:pPr>
        <w:rPr>
          <w:rFonts w:ascii="Ping LCG Regular" w:hAnsi="Ping LCG Regular"/>
          <w:b/>
          <w:bCs/>
          <w:sz w:val="22"/>
          <w:szCs w:val="22"/>
          <w:lang w:val="el-GR"/>
        </w:rPr>
      </w:pPr>
      <w:r w:rsidRPr="00F54B62">
        <w:rPr>
          <w:b/>
          <w:bCs/>
          <w:szCs w:val="22"/>
          <w:lang w:val="el-GR"/>
        </w:rPr>
        <w:br w:type="page"/>
      </w:r>
    </w:p>
    <w:p w14:paraId="7A3194D5" w14:textId="3BF73B09" w:rsidR="00145FF1" w:rsidRPr="007334B1" w:rsidRDefault="00145FF1" w:rsidP="00145FF1">
      <w:pPr>
        <w:pStyle w:val="DehPressRelease"/>
        <w:jc w:val="both"/>
        <w:rPr>
          <w:b/>
          <w:bCs/>
          <w:szCs w:val="22"/>
        </w:rPr>
      </w:pPr>
      <w:r w:rsidRPr="007334B1">
        <w:rPr>
          <w:b/>
          <w:bCs/>
          <w:szCs w:val="22"/>
        </w:rPr>
        <w:lastRenderedPageBreak/>
        <w:t xml:space="preserve">Βασικά γεγονότα του </w:t>
      </w:r>
      <w:r w:rsidR="007334B1">
        <w:rPr>
          <w:b/>
          <w:bCs/>
          <w:szCs w:val="22"/>
        </w:rPr>
        <w:t xml:space="preserve">α΄ τριμήνου </w:t>
      </w:r>
      <w:r w:rsidRPr="007334B1">
        <w:rPr>
          <w:b/>
          <w:bCs/>
          <w:szCs w:val="22"/>
        </w:rPr>
        <w:t>202</w:t>
      </w:r>
      <w:r w:rsidR="007334B1">
        <w:rPr>
          <w:b/>
          <w:bCs/>
          <w:szCs w:val="22"/>
        </w:rPr>
        <w:t>4</w:t>
      </w:r>
      <w:r w:rsidRPr="007334B1">
        <w:rPr>
          <w:b/>
          <w:bCs/>
          <w:szCs w:val="22"/>
        </w:rPr>
        <w:t xml:space="preserve"> </w:t>
      </w:r>
    </w:p>
    <w:p w14:paraId="5B279DE6" w14:textId="45EF6927" w:rsidR="00145FF1" w:rsidRPr="00FE1DB5" w:rsidRDefault="00CD3B12" w:rsidP="006C5B96">
      <w:pPr>
        <w:pStyle w:val="DehPressRelease"/>
        <w:jc w:val="both"/>
        <w:rPr>
          <w:szCs w:val="22"/>
        </w:rPr>
      </w:pPr>
      <w:r w:rsidRPr="007334B1">
        <w:rPr>
          <w:szCs w:val="22"/>
        </w:rPr>
        <w:t xml:space="preserve">Η ΔΕΗ ξεκίνησε </w:t>
      </w:r>
      <w:r w:rsidR="0039129A" w:rsidRPr="007334B1">
        <w:rPr>
          <w:szCs w:val="22"/>
        </w:rPr>
        <w:t>δυναμικά το 2024</w:t>
      </w:r>
      <w:r w:rsidR="00EE4DBB" w:rsidRPr="007334B1">
        <w:rPr>
          <w:szCs w:val="22"/>
        </w:rPr>
        <w:t xml:space="preserve">, καταγράφοντας </w:t>
      </w:r>
      <w:r w:rsidR="00080FC8" w:rsidRPr="007334B1">
        <w:rPr>
          <w:szCs w:val="22"/>
        </w:rPr>
        <w:t xml:space="preserve">θετικές επιδόσεις για ένα ακόμη τρίμηνο. </w:t>
      </w:r>
    </w:p>
    <w:p w14:paraId="75FF0ABD" w14:textId="084C56A4" w:rsidR="005F0552" w:rsidRPr="00661383" w:rsidRDefault="004D184B" w:rsidP="006C5B96">
      <w:pPr>
        <w:pStyle w:val="DehPressRelease"/>
        <w:jc w:val="both"/>
        <w:rPr>
          <w:szCs w:val="22"/>
        </w:rPr>
      </w:pPr>
      <w:r>
        <w:rPr>
          <w:szCs w:val="22"/>
        </w:rPr>
        <w:t xml:space="preserve">Η μείωση των </w:t>
      </w:r>
      <w:r w:rsidR="005F1282">
        <w:rPr>
          <w:szCs w:val="22"/>
        </w:rPr>
        <w:t xml:space="preserve">λειτουργικών </w:t>
      </w:r>
      <w:r>
        <w:rPr>
          <w:szCs w:val="22"/>
        </w:rPr>
        <w:t xml:space="preserve">κινδύνων </w:t>
      </w:r>
      <w:r w:rsidR="005F1282">
        <w:rPr>
          <w:szCs w:val="22"/>
        </w:rPr>
        <w:t>συνεχίστηκε για ένα ακόμη τρίμηνο</w:t>
      </w:r>
      <w:r w:rsidR="00716D60">
        <w:rPr>
          <w:szCs w:val="22"/>
        </w:rPr>
        <w:t xml:space="preserve"> με </w:t>
      </w:r>
      <w:r w:rsidR="005F0552" w:rsidRPr="00E73F53">
        <w:rPr>
          <w:szCs w:val="22"/>
        </w:rPr>
        <w:t xml:space="preserve">σημαντική πρόοδο σε σχέση με το α’ τρίμηνο του 2023 όσον αφορά </w:t>
      </w:r>
      <w:r w:rsidR="00E73F53" w:rsidRPr="00704014">
        <w:rPr>
          <w:szCs w:val="22"/>
        </w:rPr>
        <w:t>σ</w:t>
      </w:r>
      <w:r w:rsidR="005F0552" w:rsidRPr="00E73F53">
        <w:rPr>
          <w:szCs w:val="22"/>
        </w:rPr>
        <w:t xml:space="preserve">την ισχύ ΑΠΕ, </w:t>
      </w:r>
      <w:r w:rsidR="00E73F53" w:rsidRPr="00704014">
        <w:rPr>
          <w:szCs w:val="22"/>
        </w:rPr>
        <w:t>σ</w:t>
      </w:r>
      <w:r w:rsidR="005F0552" w:rsidRPr="00E73F53">
        <w:rPr>
          <w:szCs w:val="22"/>
        </w:rPr>
        <w:t xml:space="preserve">τις επενδύσεις και </w:t>
      </w:r>
      <w:r w:rsidR="00E73F53" w:rsidRPr="00704014">
        <w:rPr>
          <w:szCs w:val="22"/>
        </w:rPr>
        <w:t>σ</w:t>
      </w:r>
      <w:r w:rsidR="005F0552" w:rsidRPr="00E73F53">
        <w:rPr>
          <w:szCs w:val="22"/>
        </w:rPr>
        <w:t xml:space="preserve">το </w:t>
      </w:r>
      <w:r w:rsidR="00E73F53" w:rsidRPr="00704014">
        <w:rPr>
          <w:szCs w:val="22"/>
        </w:rPr>
        <w:t xml:space="preserve">ανθρακικό </w:t>
      </w:r>
      <w:r w:rsidR="005F0552" w:rsidRPr="00E73F53">
        <w:rPr>
          <w:szCs w:val="22"/>
        </w:rPr>
        <w:t>αποτύπωμα</w:t>
      </w:r>
      <w:r w:rsidR="00661383" w:rsidRPr="00704014">
        <w:rPr>
          <w:szCs w:val="22"/>
        </w:rPr>
        <w:t xml:space="preserve"> </w:t>
      </w:r>
      <w:r w:rsidR="00661383">
        <w:rPr>
          <w:szCs w:val="22"/>
        </w:rPr>
        <w:t>της ΔΕΗ.</w:t>
      </w:r>
    </w:p>
    <w:p w14:paraId="7531B800" w14:textId="5A921327" w:rsidR="00DA00ED" w:rsidRDefault="002E126F" w:rsidP="006C5B96">
      <w:pPr>
        <w:pStyle w:val="DehPressRelease"/>
        <w:jc w:val="both"/>
        <w:rPr>
          <w:szCs w:val="22"/>
        </w:rPr>
      </w:pPr>
      <w:r w:rsidRPr="002E126F">
        <w:rPr>
          <w:szCs w:val="22"/>
        </w:rPr>
        <w:t xml:space="preserve">Οι συνολικές επενδύσεις ανήλθαν σε €501 εκατ., συμπεριλαμβανομένων των επενδύσεων στη Ρουμανία, με σημαντική άνοδο να καταγράφεται </w:t>
      </w:r>
      <w:r w:rsidR="007B3741">
        <w:rPr>
          <w:szCs w:val="22"/>
        </w:rPr>
        <w:t>στις</w:t>
      </w:r>
      <w:r w:rsidR="007B3741" w:rsidRPr="002E126F">
        <w:rPr>
          <w:szCs w:val="22"/>
        </w:rPr>
        <w:t xml:space="preserve"> </w:t>
      </w:r>
      <w:r w:rsidRPr="002E126F">
        <w:rPr>
          <w:szCs w:val="22"/>
        </w:rPr>
        <w:t>δραστηριότη</w:t>
      </w:r>
      <w:r w:rsidR="00B47341">
        <w:rPr>
          <w:szCs w:val="22"/>
        </w:rPr>
        <w:t>τες</w:t>
      </w:r>
      <w:r w:rsidRPr="002E126F">
        <w:rPr>
          <w:szCs w:val="22"/>
        </w:rPr>
        <w:t xml:space="preserve"> της Διανομής και </w:t>
      </w:r>
      <w:r w:rsidR="00B47341">
        <w:rPr>
          <w:szCs w:val="22"/>
        </w:rPr>
        <w:t xml:space="preserve">των </w:t>
      </w:r>
      <w:r w:rsidRPr="002E126F">
        <w:rPr>
          <w:szCs w:val="22"/>
        </w:rPr>
        <w:t xml:space="preserve">ΑΠΕ σύμφωνα με τη στρατηγική </w:t>
      </w:r>
      <w:r w:rsidR="00661383">
        <w:rPr>
          <w:szCs w:val="22"/>
        </w:rPr>
        <w:t>της ΔΕΗ</w:t>
      </w:r>
      <w:r w:rsidR="00661383" w:rsidRPr="002E126F">
        <w:rPr>
          <w:szCs w:val="22"/>
        </w:rPr>
        <w:t xml:space="preserve"> </w:t>
      </w:r>
      <w:r w:rsidRPr="002E126F">
        <w:rPr>
          <w:szCs w:val="22"/>
        </w:rPr>
        <w:t xml:space="preserve">για αύξηση της συμμετοχής </w:t>
      </w:r>
      <w:r w:rsidR="007B3741">
        <w:rPr>
          <w:szCs w:val="22"/>
        </w:rPr>
        <w:t xml:space="preserve">της </w:t>
      </w:r>
      <w:r w:rsidRPr="002E126F">
        <w:rPr>
          <w:szCs w:val="22"/>
        </w:rPr>
        <w:t xml:space="preserve">καθαρής ενέργειας στο μείγμα </w:t>
      </w:r>
      <w:r w:rsidR="007B3741">
        <w:rPr>
          <w:szCs w:val="22"/>
        </w:rPr>
        <w:t xml:space="preserve">της ηλεκτροπαραγωγής </w:t>
      </w:r>
      <w:r w:rsidR="00661383">
        <w:rPr>
          <w:szCs w:val="22"/>
        </w:rPr>
        <w:t>της</w:t>
      </w:r>
      <w:r w:rsidR="007B3741">
        <w:rPr>
          <w:szCs w:val="22"/>
        </w:rPr>
        <w:t xml:space="preserve"> </w:t>
      </w:r>
      <w:r w:rsidRPr="002E126F">
        <w:rPr>
          <w:szCs w:val="22"/>
        </w:rPr>
        <w:t xml:space="preserve">και την ψηφιοποίηση των δικτύων διανομής. </w:t>
      </w:r>
      <w:r w:rsidR="002E6B39">
        <w:rPr>
          <w:szCs w:val="22"/>
        </w:rPr>
        <w:t>Οι επενδύσεις</w:t>
      </w:r>
      <w:r w:rsidRPr="002E126F">
        <w:rPr>
          <w:szCs w:val="22"/>
        </w:rPr>
        <w:t xml:space="preserve"> </w:t>
      </w:r>
      <w:r w:rsidR="000D28C8" w:rsidRPr="002E126F">
        <w:rPr>
          <w:szCs w:val="22"/>
        </w:rPr>
        <w:t xml:space="preserve">σε ΑΠΕ και στη δραστηριότητα </w:t>
      </w:r>
      <w:r w:rsidR="000D28C8">
        <w:rPr>
          <w:szCs w:val="22"/>
        </w:rPr>
        <w:t xml:space="preserve">της </w:t>
      </w:r>
      <w:r w:rsidR="000D28C8" w:rsidRPr="002E126F">
        <w:rPr>
          <w:szCs w:val="22"/>
        </w:rPr>
        <w:t xml:space="preserve">Διανομής </w:t>
      </w:r>
      <w:r w:rsidR="000D28C8">
        <w:rPr>
          <w:szCs w:val="22"/>
        </w:rPr>
        <w:t xml:space="preserve">ανήλθαν </w:t>
      </w:r>
      <w:r w:rsidRPr="002E126F">
        <w:rPr>
          <w:szCs w:val="22"/>
        </w:rPr>
        <w:t>€</w:t>
      </w:r>
      <w:r w:rsidR="002504A0">
        <w:rPr>
          <w:szCs w:val="22"/>
        </w:rPr>
        <w:t>420 εκατ</w:t>
      </w:r>
      <w:r w:rsidRPr="002E126F">
        <w:rPr>
          <w:szCs w:val="22"/>
        </w:rPr>
        <w:t>., σημειώνοντας αύξηση</w:t>
      </w:r>
      <w:r w:rsidR="006C5B96" w:rsidRPr="006C5B96">
        <w:rPr>
          <w:szCs w:val="22"/>
        </w:rPr>
        <w:t xml:space="preserve"> </w:t>
      </w:r>
      <w:r w:rsidR="002504A0">
        <w:rPr>
          <w:szCs w:val="22"/>
        </w:rPr>
        <w:t>123</w:t>
      </w:r>
      <w:r w:rsidRPr="002E126F">
        <w:rPr>
          <w:szCs w:val="22"/>
        </w:rPr>
        <w:t xml:space="preserve">% </w:t>
      </w:r>
      <w:r w:rsidR="002504A0">
        <w:rPr>
          <w:szCs w:val="22"/>
        </w:rPr>
        <w:t xml:space="preserve">σε σχέση με </w:t>
      </w:r>
      <w:r w:rsidRPr="002E126F">
        <w:rPr>
          <w:szCs w:val="22"/>
        </w:rPr>
        <w:t xml:space="preserve">το α’ τρίμηνο του </w:t>
      </w:r>
      <w:r w:rsidR="002504A0">
        <w:rPr>
          <w:szCs w:val="22"/>
        </w:rPr>
        <w:t>2023</w:t>
      </w:r>
      <w:r w:rsidR="008D67AE" w:rsidRPr="00704014">
        <w:rPr>
          <w:szCs w:val="22"/>
        </w:rPr>
        <w:t xml:space="preserve">, </w:t>
      </w:r>
      <w:r w:rsidR="008D67AE">
        <w:rPr>
          <w:szCs w:val="22"/>
        </w:rPr>
        <w:t>συμπεριλαμβανομέν</w:t>
      </w:r>
      <w:r w:rsidR="00B33F8F">
        <w:rPr>
          <w:szCs w:val="22"/>
        </w:rPr>
        <w:t>ης της συνεισφοράς από την Ρουμανία</w:t>
      </w:r>
      <w:r w:rsidRPr="002E126F">
        <w:rPr>
          <w:szCs w:val="22"/>
        </w:rPr>
        <w:t xml:space="preserve">. </w:t>
      </w:r>
    </w:p>
    <w:p w14:paraId="2747DBE5" w14:textId="77777777" w:rsidR="00DD0922" w:rsidRDefault="002E126F" w:rsidP="006C5B96">
      <w:pPr>
        <w:pStyle w:val="DehPressRelease"/>
        <w:jc w:val="both"/>
        <w:rPr>
          <w:szCs w:val="22"/>
        </w:rPr>
      </w:pPr>
      <w:r w:rsidRPr="002E126F">
        <w:rPr>
          <w:szCs w:val="22"/>
        </w:rPr>
        <w:t xml:space="preserve">Η εγκατεστημένη ισχύς σε ΑΠΕ ανήλθε σε 4,7GW στο τέλος Μαρτίου 2024, με τα έργα σε στάδιο κατασκευής ή έτοιμα προς κατασκευή να ανέρχονται σε 2,8GW, που αντιστοιχεί περίπου στο 70% της ισχύος που απαιτείται για την επίτευξη του στόχου για το 2026. </w:t>
      </w:r>
    </w:p>
    <w:p w14:paraId="73A2CCFB" w14:textId="189500AE" w:rsidR="006C5B96" w:rsidRPr="006C5B96" w:rsidRDefault="002E126F" w:rsidP="006C5B96">
      <w:pPr>
        <w:pStyle w:val="DehPressRelease"/>
        <w:jc w:val="both"/>
        <w:rPr>
          <w:szCs w:val="22"/>
        </w:rPr>
      </w:pPr>
      <w:r w:rsidRPr="002E126F">
        <w:rPr>
          <w:szCs w:val="22"/>
        </w:rPr>
        <w:t>Επιπλέον, η ένταση εκπομπών Scope 1 βελτιώθηκε κατά 24% (0,50 τόνοι CO</w:t>
      </w:r>
      <w:r w:rsidRPr="00DD0922">
        <w:rPr>
          <w:szCs w:val="22"/>
          <w:vertAlign w:val="subscript"/>
        </w:rPr>
        <w:t>2</w:t>
      </w:r>
      <w:r w:rsidRPr="002E126F">
        <w:rPr>
          <w:szCs w:val="22"/>
        </w:rPr>
        <w:t>/MWh από 0,65 CO</w:t>
      </w:r>
      <w:r w:rsidRPr="00DD0922">
        <w:rPr>
          <w:szCs w:val="22"/>
          <w:vertAlign w:val="subscript"/>
        </w:rPr>
        <w:t>2</w:t>
      </w:r>
      <w:r w:rsidRPr="002E126F">
        <w:rPr>
          <w:szCs w:val="22"/>
        </w:rPr>
        <w:t>/MWh), κυρίως λόγω της μειωμένης παραγωγής από λιγνίτη και της</w:t>
      </w:r>
      <w:r w:rsidR="006C5B96" w:rsidRPr="006C5B96">
        <w:rPr>
          <w:szCs w:val="22"/>
        </w:rPr>
        <w:t xml:space="preserve"> </w:t>
      </w:r>
      <w:r w:rsidRPr="002E126F">
        <w:rPr>
          <w:szCs w:val="22"/>
        </w:rPr>
        <w:t>ενίσχυσης</w:t>
      </w:r>
      <w:r w:rsidR="006C5B96" w:rsidRPr="006C5B96">
        <w:rPr>
          <w:szCs w:val="22"/>
        </w:rPr>
        <w:t xml:space="preserve"> </w:t>
      </w:r>
      <w:r w:rsidRPr="002E126F">
        <w:rPr>
          <w:szCs w:val="22"/>
        </w:rPr>
        <w:t>της παραγωγής από ΑΠΕ.</w:t>
      </w:r>
    </w:p>
    <w:p w14:paraId="5AAEF744" w14:textId="77777777" w:rsidR="00145FF1" w:rsidRPr="00DE2285" w:rsidRDefault="00145FF1" w:rsidP="00145FF1">
      <w:pPr>
        <w:pStyle w:val="DehPressRelease"/>
        <w:jc w:val="both"/>
        <w:rPr>
          <w:b/>
          <w:bCs/>
          <w:szCs w:val="22"/>
          <w:highlight w:val="yellow"/>
        </w:rPr>
      </w:pPr>
    </w:p>
    <w:p w14:paraId="0550C625" w14:textId="77777777" w:rsidR="00145FF1" w:rsidRPr="008A3993" w:rsidRDefault="00145FF1" w:rsidP="00145FF1">
      <w:pPr>
        <w:pStyle w:val="DehPressRelease"/>
        <w:jc w:val="both"/>
        <w:rPr>
          <w:b/>
          <w:bCs/>
          <w:szCs w:val="22"/>
        </w:rPr>
      </w:pPr>
      <w:r w:rsidRPr="008A3993">
        <w:rPr>
          <w:b/>
          <w:bCs/>
          <w:szCs w:val="22"/>
        </w:rPr>
        <w:t xml:space="preserve">Οικονομικές επιδόσεις </w:t>
      </w:r>
    </w:p>
    <w:p w14:paraId="6195301A" w14:textId="5A7A0232" w:rsidR="001504E0" w:rsidRPr="00704014" w:rsidRDefault="00062316" w:rsidP="00F51477">
      <w:pPr>
        <w:pStyle w:val="DehPressRelease"/>
        <w:jc w:val="both"/>
        <w:rPr>
          <w:rFonts w:cs="Arial"/>
          <w:i/>
          <w:strike/>
          <w:color w:val="FF0000"/>
          <w:spacing w:val="-14"/>
        </w:rPr>
      </w:pPr>
      <w:r>
        <w:rPr>
          <w:b/>
          <w:bCs/>
          <w:szCs w:val="22"/>
        </w:rPr>
        <w:t>Σημαντικά α</w:t>
      </w:r>
      <w:r w:rsidR="001504E0" w:rsidRPr="008A3993">
        <w:rPr>
          <w:b/>
          <w:bCs/>
          <w:szCs w:val="22"/>
        </w:rPr>
        <w:t xml:space="preserve">υξημένη λειτουργική κερδοφορία για το α’ τρίμηνο 2024 </w:t>
      </w:r>
      <w:r w:rsidR="001504E0" w:rsidRPr="008A3993">
        <w:rPr>
          <w:szCs w:val="22"/>
        </w:rPr>
        <w:t>με τα κέρδη προ τόκων, φόρων και αποσβέσεων (</w:t>
      </w:r>
      <w:r w:rsidR="001504E0" w:rsidRPr="008A3993">
        <w:rPr>
          <w:szCs w:val="22"/>
          <w:lang w:val="en-US"/>
        </w:rPr>
        <w:t>EBITDA</w:t>
      </w:r>
      <w:r w:rsidR="001504E0" w:rsidRPr="008A3993">
        <w:rPr>
          <w:szCs w:val="22"/>
        </w:rPr>
        <w:t xml:space="preserve">) σε επαναλαμβανόμενη βάση να </w:t>
      </w:r>
      <w:r w:rsidR="001504E0" w:rsidRPr="00F117F5">
        <w:rPr>
          <w:szCs w:val="22"/>
        </w:rPr>
        <w:t>διαμορφώνονται σε €459 εκατ., αυξημένα κατά 64% σε σχέση με το α’ τρίμηνο 2023, λόγω της αυξημένης συνεισφοράς των δραστηριοτήτων της Διανομής</w:t>
      </w:r>
      <w:r w:rsidR="006433DC" w:rsidRPr="00F117F5">
        <w:rPr>
          <w:szCs w:val="22"/>
        </w:rPr>
        <w:t xml:space="preserve">, </w:t>
      </w:r>
      <w:r w:rsidR="00074D34" w:rsidRPr="00F117F5">
        <w:rPr>
          <w:szCs w:val="22"/>
        </w:rPr>
        <w:t xml:space="preserve">της βελτίωσης </w:t>
      </w:r>
      <w:r w:rsidR="00A92560" w:rsidRPr="00F117F5">
        <w:rPr>
          <w:szCs w:val="22"/>
        </w:rPr>
        <w:t>της κερδοφορίας τ</w:t>
      </w:r>
      <w:r w:rsidR="00BF4AB0" w:rsidRPr="00F117F5">
        <w:rPr>
          <w:szCs w:val="22"/>
        </w:rPr>
        <w:t>ων δραστηριοτήτων της παραγωγής και εμπορίας ηλεκτρικής ενέργειας</w:t>
      </w:r>
      <w:r w:rsidR="00306461" w:rsidRPr="00F117F5">
        <w:rPr>
          <w:szCs w:val="22"/>
        </w:rPr>
        <w:t xml:space="preserve"> </w:t>
      </w:r>
      <w:r w:rsidR="001504E0" w:rsidRPr="00F117F5">
        <w:rPr>
          <w:szCs w:val="22"/>
        </w:rPr>
        <w:t xml:space="preserve">και της </w:t>
      </w:r>
      <w:r w:rsidR="00306461" w:rsidRPr="00F117F5">
        <w:rPr>
          <w:szCs w:val="22"/>
        </w:rPr>
        <w:t>προσθήκης</w:t>
      </w:r>
      <w:r w:rsidR="001504E0" w:rsidRPr="00F117F5">
        <w:rPr>
          <w:szCs w:val="22"/>
        </w:rPr>
        <w:t xml:space="preserve"> των  δραστηριοτήτων στη Ρουμανία.</w:t>
      </w:r>
      <w:r w:rsidR="00F51477">
        <w:rPr>
          <w:szCs w:val="22"/>
        </w:rPr>
        <w:t xml:space="preserve"> </w:t>
      </w:r>
    </w:p>
    <w:p w14:paraId="33634F21" w14:textId="3F1287D1" w:rsidR="001504E0" w:rsidRPr="00F118CC" w:rsidRDefault="001504E0" w:rsidP="001504E0">
      <w:pPr>
        <w:pStyle w:val="DehPressRelease"/>
        <w:spacing w:after="240"/>
        <w:jc w:val="both"/>
        <w:rPr>
          <w:szCs w:val="22"/>
        </w:rPr>
      </w:pPr>
      <w:r w:rsidRPr="00F118CC">
        <w:rPr>
          <w:b/>
          <w:bCs/>
          <w:szCs w:val="22"/>
        </w:rPr>
        <w:t xml:space="preserve">Τα κέρδη προ φόρων </w:t>
      </w:r>
      <w:r w:rsidRPr="00F118CC">
        <w:rPr>
          <w:szCs w:val="22"/>
        </w:rPr>
        <w:t>ανήλθαν σε €1</w:t>
      </w:r>
      <w:r w:rsidR="00CB66D1" w:rsidRPr="00C7644D">
        <w:rPr>
          <w:szCs w:val="22"/>
        </w:rPr>
        <w:t>22</w:t>
      </w:r>
      <w:r w:rsidRPr="00F118CC">
        <w:rPr>
          <w:szCs w:val="22"/>
        </w:rPr>
        <w:t xml:space="preserve"> εκατ. έναντι €73 εκατ. το α’ τρίμηνο 2023, κυρίως ως αποτέλεσμα της βελτιωμένης λειτουργικής κερδοφορίας και της συνεισφοράς των δραστηριοτήτων στην Ρουμανία. </w:t>
      </w:r>
    </w:p>
    <w:p w14:paraId="03DF7E3B" w14:textId="1B0B0079" w:rsidR="001504E0" w:rsidRPr="00916534" w:rsidRDefault="001504E0" w:rsidP="001504E0">
      <w:pPr>
        <w:pStyle w:val="DehPressRelease"/>
        <w:spacing w:after="240"/>
        <w:jc w:val="both"/>
        <w:rPr>
          <w:szCs w:val="22"/>
        </w:rPr>
      </w:pPr>
      <w:r w:rsidRPr="00916534">
        <w:rPr>
          <w:b/>
          <w:bCs/>
          <w:szCs w:val="22"/>
        </w:rPr>
        <w:t>Τα καθαρά κέρδη</w:t>
      </w:r>
      <w:r w:rsidRPr="00916534">
        <w:rPr>
          <w:szCs w:val="22"/>
        </w:rPr>
        <w:t xml:space="preserve"> </w:t>
      </w:r>
      <w:r>
        <w:rPr>
          <w:szCs w:val="22"/>
        </w:rPr>
        <w:t>διαμορφώθηκαν</w:t>
      </w:r>
      <w:r w:rsidRPr="00916534">
        <w:rPr>
          <w:szCs w:val="22"/>
        </w:rPr>
        <w:t xml:space="preserve"> σε €</w:t>
      </w:r>
      <w:r w:rsidR="00C7644D" w:rsidRPr="006D7CA7">
        <w:rPr>
          <w:szCs w:val="22"/>
        </w:rPr>
        <w:t>86</w:t>
      </w:r>
      <w:r w:rsidRPr="00916534">
        <w:rPr>
          <w:szCs w:val="22"/>
        </w:rPr>
        <w:t xml:space="preserve"> εκατ. έναντι €51 εκατ. το α’ τρίμηνο 2023.   </w:t>
      </w:r>
    </w:p>
    <w:p w14:paraId="2FFA5DB9" w14:textId="12A98461" w:rsidR="001504E0" w:rsidRPr="00E067EE" w:rsidRDefault="00E11E89" w:rsidP="001504E0">
      <w:pPr>
        <w:pStyle w:val="DehPressRelease"/>
        <w:spacing w:after="240"/>
        <w:jc w:val="both"/>
        <w:rPr>
          <w:szCs w:val="22"/>
        </w:rPr>
      </w:pPr>
      <w:r>
        <w:rPr>
          <w:b/>
          <w:bCs/>
          <w:szCs w:val="22"/>
        </w:rPr>
        <w:t>Ισχυρή</w:t>
      </w:r>
      <w:r w:rsidR="001504E0" w:rsidRPr="00E067EE">
        <w:rPr>
          <w:b/>
          <w:bCs/>
          <w:szCs w:val="22"/>
        </w:rPr>
        <w:t xml:space="preserve"> χρηματοοικονομική θέση</w:t>
      </w:r>
      <w:r w:rsidR="001504E0" w:rsidRPr="00E067EE">
        <w:rPr>
          <w:szCs w:val="22"/>
        </w:rPr>
        <w:t xml:space="preserve"> παρά τ</w:t>
      </w:r>
      <w:r w:rsidR="001504E0">
        <w:rPr>
          <w:szCs w:val="22"/>
        </w:rPr>
        <w:t xml:space="preserve">ην επιτάχυνση των </w:t>
      </w:r>
      <w:r w:rsidR="001504E0" w:rsidRPr="00E067EE">
        <w:rPr>
          <w:szCs w:val="22"/>
        </w:rPr>
        <w:t>επενδύσε</w:t>
      </w:r>
      <w:r w:rsidR="001504E0">
        <w:rPr>
          <w:szCs w:val="22"/>
        </w:rPr>
        <w:t>ων</w:t>
      </w:r>
      <w:r w:rsidR="001504E0" w:rsidRPr="00E067EE">
        <w:rPr>
          <w:szCs w:val="22"/>
        </w:rPr>
        <w:t>. Η ΔΕΗ διατήρησε τον δείκτη Καθαρό χρέος/</w:t>
      </w:r>
      <w:r w:rsidR="001504E0" w:rsidRPr="00E067EE">
        <w:rPr>
          <w:szCs w:val="22"/>
          <w:lang w:val="en-US"/>
        </w:rPr>
        <w:t>LTM</w:t>
      </w:r>
      <w:r w:rsidR="001504E0" w:rsidRPr="00E067EE">
        <w:rPr>
          <w:szCs w:val="22"/>
        </w:rPr>
        <w:t xml:space="preserve"> PF EBITDA </w:t>
      </w:r>
      <w:r w:rsidR="001504E0">
        <w:rPr>
          <w:szCs w:val="22"/>
        </w:rPr>
        <w:t xml:space="preserve">τον Μάρτιο </w:t>
      </w:r>
      <w:r w:rsidR="001504E0" w:rsidRPr="009B6954">
        <w:rPr>
          <w:szCs w:val="22"/>
        </w:rPr>
        <w:t>2024 στο 2x,</w:t>
      </w:r>
      <w:r w:rsidR="001504E0" w:rsidRPr="00E067EE">
        <w:rPr>
          <w:szCs w:val="22"/>
        </w:rPr>
        <w:t xml:space="preserve"> πολύ χαμηλότερα από το όριο του 3,5x που έχει θέσει, με τον καθαρό δανεισμό να διαμορφώνεται σε €3</w:t>
      </w:r>
      <w:r w:rsidR="00447E45">
        <w:rPr>
          <w:szCs w:val="22"/>
        </w:rPr>
        <w:t>.</w:t>
      </w:r>
      <w:r w:rsidR="001504E0" w:rsidRPr="00E067EE">
        <w:rPr>
          <w:szCs w:val="22"/>
        </w:rPr>
        <w:t>37</w:t>
      </w:r>
      <w:r w:rsidR="001504E0" w:rsidRPr="004A7222">
        <w:rPr>
          <w:szCs w:val="22"/>
        </w:rPr>
        <w:t>7</w:t>
      </w:r>
      <w:r w:rsidR="001504E0" w:rsidRPr="00E067EE">
        <w:rPr>
          <w:szCs w:val="22"/>
        </w:rPr>
        <w:t xml:space="preserve"> εκατ. στις 31.03.2024.</w:t>
      </w:r>
    </w:p>
    <w:p w14:paraId="0F1723EE" w14:textId="77777777" w:rsidR="00145FF1" w:rsidRPr="00DE2285" w:rsidRDefault="00145FF1" w:rsidP="00145FF1">
      <w:pPr>
        <w:rPr>
          <w:rFonts w:ascii="Ping LCG Regular" w:hAnsi="Ping LCG Regular"/>
          <w:b/>
          <w:bCs/>
          <w:sz w:val="22"/>
          <w:szCs w:val="22"/>
          <w:highlight w:val="yellow"/>
          <w:lang w:val="el-GR"/>
        </w:rPr>
      </w:pPr>
    </w:p>
    <w:p w14:paraId="05CA183D" w14:textId="2C35EB69" w:rsidR="00145FF1" w:rsidRPr="00704014" w:rsidRDefault="00145FF1" w:rsidP="00145FF1">
      <w:pPr>
        <w:pStyle w:val="DehPressRelease"/>
        <w:jc w:val="both"/>
        <w:rPr>
          <w:b/>
          <w:bCs/>
          <w:szCs w:val="22"/>
        </w:rPr>
      </w:pPr>
      <w:r w:rsidRPr="00704014">
        <w:rPr>
          <w:b/>
          <w:bCs/>
          <w:szCs w:val="22"/>
        </w:rPr>
        <w:lastRenderedPageBreak/>
        <w:t xml:space="preserve">Σχολιάζοντας τα αποτελέσματα, ο </w:t>
      </w:r>
      <w:r w:rsidR="00292A09" w:rsidRPr="00704014">
        <w:rPr>
          <w:b/>
          <w:bCs/>
          <w:szCs w:val="22"/>
        </w:rPr>
        <w:t xml:space="preserve">Γεώργιος Στάσσης, </w:t>
      </w:r>
      <w:r w:rsidRPr="00704014">
        <w:rPr>
          <w:b/>
          <w:bCs/>
          <w:szCs w:val="22"/>
        </w:rPr>
        <w:t>Πρόεδρος και Διευθύνων Σύμβουλος της ΔΕΗ δήλωσε:</w:t>
      </w:r>
    </w:p>
    <w:p w14:paraId="3510872C" w14:textId="07F26DFD" w:rsidR="00145FF1" w:rsidRPr="006609FA" w:rsidRDefault="00145FF1" w:rsidP="006609FA">
      <w:pPr>
        <w:pStyle w:val="DehPressRelease"/>
        <w:jc w:val="both"/>
        <w:rPr>
          <w:i/>
          <w:iCs/>
          <w:szCs w:val="22"/>
          <w:highlight w:val="yellow"/>
        </w:rPr>
      </w:pPr>
      <w:r w:rsidRPr="00704014">
        <w:rPr>
          <w:i/>
          <w:iCs/>
          <w:szCs w:val="22"/>
        </w:rPr>
        <w:t>«</w:t>
      </w:r>
      <w:r w:rsidR="007465A5" w:rsidRPr="00847B9B">
        <w:rPr>
          <w:i/>
          <w:iCs/>
          <w:szCs w:val="22"/>
        </w:rPr>
        <w:t xml:space="preserve">Η ΔΕΗ </w:t>
      </w:r>
      <w:r w:rsidR="00FD2970" w:rsidRPr="00847B9B">
        <w:rPr>
          <w:i/>
          <w:iCs/>
          <w:szCs w:val="22"/>
        </w:rPr>
        <w:t xml:space="preserve">ξεκίνησε </w:t>
      </w:r>
      <w:r w:rsidR="00961BFA" w:rsidRPr="00847B9B">
        <w:rPr>
          <w:i/>
          <w:iCs/>
          <w:szCs w:val="22"/>
        </w:rPr>
        <w:t xml:space="preserve">το έτος </w:t>
      </w:r>
      <w:r w:rsidR="00847B9B" w:rsidRPr="00704014">
        <w:rPr>
          <w:i/>
          <w:iCs/>
          <w:szCs w:val="22"/>
        </w:rPr>
        <w:t xml:space="preserve">δυναμικά </w:t>
      </w:r>
      <w:r w:rsidR="00961BFA" w:rsidRPr="00847B9B">
        <w:rPr>
          <w:i/>
          <w:iCs/>
          <w:szCs w:val="22"/>
        </w:rPr>
        <w:t>μ</w:t>
      </w:r>
      <w:r w:rsidR="00DF670D" w:rsidRPr="00847B9B">
        <w:rPr>
          <w:i/>
          <w:iCs/>
          <w:szCs w:val="22"/>
        </w:rPr>
        <w:t xml:space="preserve">ε ισχυρή </w:t>
      </w:r>
      <w:r w:rsidR="00847B9B" w:rsidRPr="00704014">
        <w:rPr>
          <w:i/>
          <w:iCs/>
          <w:szCs w:val="22"/>
        </w:rPr>
        <w:t>λειτουργική κερδοφορία</w:t>
      </w:r>
      <w:r w:rsidR="0033597C" w:rsidRPr="00847B9B">
        <w:rPr>
          <w:i/>
          <w:iCs/>
          <w:szCs w:val="22"/>
        </w:rPr>
        <w:t xml:space="preserve"> η οποία μας </w:t>
      </w:r>
      <w:r w:rsidR="00847B9B" w:rsidRPr="00847B9B">
        <w:rPr>
          <w:i/>
          <w:iCs/>
          <w:szCs w:val="22"/>
        </w:rPr>
        <w:t>επιτρέπει</w:t>
      </w:r>
      <w:r w:rsidR="003B62A8" w:rsidRPr="00847B9B">
        <w:rPr>
          <w:i/>
          <w:iCs/>
          <w:szCs w:val="22"/>
        </w:rPr>
        <w:t xml:space="preserve"> να αναβαθμίσουμε τις προοπτικές μας για το 2024. Έχουμε</w:t>
      </w:r>
      <w:r w:rsidR="003B62A8" w:rsidRPr="005E05BA">
        <w:rPr>
          <w:i/>
          <w:iCs/>
          <w:szCs w:val="22"/>
        </w:rPr>
        <w:t xml:space="preserve"> </w:t>
      </w:r>
      <w:r w:rsidR="003B62A8">
        <w:rPr>
          <w:i/>
          <w:iCs/>
          <w:szCs w:val="22"/>
        </w:rPr>
        <w:t>αυξήσει</w:t>
      </w:r>
      <w:r w:rsidR="003B62A8" w:rsidRPr="005E05BA">
        <w:rPr>
          <w:i/>
          <w:iCs/>
          <w:szCs w:val="22"/>
        </w:rPr>
        <w:t xml:space="preserve"> </w:t>
      </w:r>
      <w:r w:rsidR="003B62A8">
        <w:rPr>
          <w:i/>
          <w:iCs/>
          <w:szCs w:val="22"/>
        </w:rPr>
        <w:t>τις</w:t>
      </w:r>
      <w:r w:rsidR="003B62A8" w:rsidRPr="005E05BA">
        <w:rPr>
          <w:i/>
          <w:iCs/>
          <w:szCs w:val="22"/>
        </w:rPr>
        <w:t xml:space="preserve"> </w:t>
      </w:r>
      <w:r w:rsidR="003B62A8">
        <w:rPr>
          <w:i/>
          <w:iCs/>
          <w:szCs w:val="22"/>
        </w:rPr>
        <w:t>επενδύσεις μας σε Ανανεώσιμες Πηγές Ενέργειας</w:t>
      </w:r>
      <w:r w:rsidR="005E05BA">
        <w:rPr>
          <w:i/>
          <w:iCs/>
          <w:szCs w:val="22"/>
        </w:rPr>
        <w:t xml:space="preserve"> και στη </w:t>
      </w:r>
      <w:r w:rsidR="00777789">
        <w:rPr>
          <w:i/>
          <w:iCs/>
          <w:szCs w:val="22"/>
        </w:rPr>
        <w:t xml:space="preserve">δραστηριότητας της </w:t>
      </w:r>
      <w:r w:rsidR="005E05BA">
        <w:rPr>
          <w:i/>
          <w:iCs/>
          <w:szCs w:val="22"/>
        </w:rPr>
        <w:t>Διανομή</w:t>
      </w:r>
      <w:r w:rsidR="00777789">
        <w:rPr>
          <w:i/>
          <w:iCs/>
          <w:szCs w:val="22"/>
        </w:rPr>
        <w:t>ς</w:t>
      </w:r>
      <w:r w:rsidR="005E05BA">
        <w:rPr>
          <w:i/>
          <w:iCs/>
          <w:szCs w:val="22"/>
        </w:rPr>
        <w:t xml:space="preserve"> σύμφωνα με το στόχο μας να </w:t>
      </w:r>
      <w:r w:rsidR="00B329DD">
        <w:rPr>
          <w:i/>
          <w:iCs/>
          <w:szCs w:val="22"/>
        </w:rPr>
        <w:t>γίνουμε</w:t>
      </w:r>
      <w:r w:rsidR="008B5137">
        <w:rPr>
          <w:i/>
          <w:iCs/>
          <w:szCs w:val="22"/>
        </w:rPr>
        <w:t xml:space="preserve"> ηγετικός παίκτης καθαρής ενέργειας</w:t>
      </w:r>
      <w:r w:rsidR="005442FE">
        <w:rPr>
          <w:i/>
          <w:iCs/>
          <w:szCs w:val="22"/>
        </w:rPr>
        <w:t>, κρίσιμων υποδομών και υπηρεσιών στην Νοτιοανατολική Ευρώπη, διατηρώντας παράλληλα ισχυρή</w:t>
      </w:r>
      <w:r w:rsidR="003D6D93">
        <w:rPr>
          <w:i/>
          <w:iCs/>
          <w:szCs w:val="22"/>
        </w:rPr>
        <w:t xml:space="preserve"> χρηματοοικονομική θέση</w:t>
      </w:r>
      <w:r w:rsidR="0039670F">
        <w:rPr>
          <w:i/>
          <w:iCs/>
          <w:szCs w:val="22"/>
        </w:rPr>
        <w:t>.</w:t>
      </w:r>
      <w:r w:rsidR="00CB0421" w:rsidRPr="00704014">
        <w:rPr>
          <w:i/>
          <w:iCs/>
          <w:szCs w:val="22"/>
        </w:rPr>
        <w:t xml:space="preserve"> </w:t>
      </w:r>
      <w:r w:rsidR="00226482">
        <w:rPr>
          <w:i/>
          <w:iCs/>
          <w:szCs w:val="22"/>
        </w:rPr>
        <w:t>Παραμένουμε</w:t>
      </w:r>
      <w:r w:rsidR="00226482" w:rsidRPr="005860E4">
        <w:rPr>
          <w:i/>
          <w:iCs/>
          <w:szCs w:val="22"/>
        </w:rPr>
        <w:t xml:space="preserve"> </w:t>
      </w:r>
      <w:r w:rsidR="00226482">
        <w:rPr>
          <w:i/>
          <w:iCs/>
          <w:szCs w:val="22"/>
        </w:rPr>
        <w:t>προσηλωμένοι</w:t>
      </w:r>
      <w:r w:rsidR="005860E4" w:rsidRPr="005860E4">
        <w:rPr>
          <w:i/>
          <w:iCs/>
          <w:szCs w:val="22"/>
        </w:rPr>
        <w:t xml:space="preserve"> </w:t>
      </w:r>
      <w:r w:rsidR="005860E4">
        <w:rPr>
          <w:i/>
          <w:iCs/>
          <w:szCs w:val="22"/>
        </w:rPr>
        <w:t>στην</w:t>
      </w:r>
      <w:r w:rsidR="005860E4" w:rsidRPr="005860E4">
        <w:rPr>
          <w:i/>
          <w:iCs/>
          <w:szCs w:val="22"/>
        </w:rPr>
        <w:t xml:space="preserve"> </w:t>
      </w:r>
      <w:r w:rsidR="005860E4">
        <w:rPr>
          <w:i/>
          <w:iCs/>
          <w:szCs w:val="22"/>
        </w:rPr>
        <w:t>υλοποίηση</w:t>
      </w:r>
      <w:r w:rsidR="005860E4" w:rsidRPr="005860E4">
        <w:rPr>
          <w:i/>
          <w:iCs/>
          <w:szCs w:val="22"/>
        </w:rPr>
        <w:t xml:space="preserve"> </w:t>
      </w:r>
      <w:r w:rsidR="005860E4">
        <w:rPr>
          <w:i/>
          <w:iCs/>
          <w:szCs w:val="22"/>
        </w:rPr>
        <w:t>του</w:t>
      </w:r>
      <w:r w:rsidR="005860E4" w:rsidRPr="005860E4">
        <w:rPr>
          <w:i/>
          <w:iCs/>
          <w:szCs w:val="22"/>
        </w:rPr>
        <w:t xml:space="preserve"> </w:t>
      </w:r>
      <w:r w:rsidR="005860E4">
        <w:rPr>
          <w:i/>
          <w:iCs/>
          <w:szCs w:val="22"/>
        </w:rPr>
        <w:t xml:space="preserve">Στρατηγικού πλάνου που </w:t>
      </w:r>
      <w:r w:rsidR="00E732A8">
        <w:rPr>
          <w:i/>
          <w:iCs/>
          <w:szCs w:val="22"/>
        </w:rPr>
        <w:t>παρουσιάσαμε</w:t>
      </w:r>
      <w:r w:rsidR="005860E4">
        <w:rPr>
          <w:i/>
          <w:iCs/>
          <w:szCs w:val="22"/>
        </w:rPr>
        <w:t xml:space="preserve"> τον Ιανουάριο</w:t>
      </w:r>
      <w:r w:rsidR="003A0DED" w:rsidRPr="00704014">
        <w:rPr>
          <w:i/>
          <w:iCs/>
          <w:szCs w:val="22"/>
        </w:rPr>
        <w:t xml:space="preserve"> </w:t>
      </w:r>
      <w:r w:rsidR="003A0DED">
        <w:rPr>
          <w:i/>
          <w:iCs/>
          <w:szCs w:val="22"/>
        </w:rPr>
        <w:t xml:space="preserve">στο </w:t>
      </w:r>
      <w:r w:rsidR="003A0DED" w:rsidRPr="003A0DED">
        <w:rPr>
          <w:i/>
          <w:iCs/>
          <w:szCs w:val="22"/>
        </w:rPr>
        <w:t>Capital Markets Day</w:t>
      </w:r>
      <w:r w:rsidR="005860E4">
        <w:rPr>
          <w:i/>
          <w:iCs/>
          <w:szCs w:val="22"/>
        </w:rPr>
        <w:t>, αξιοποιώντας το επιχειρηματικό μας μοντέλο</w:t>
      </w:r>
      <w:r w:rsidR="00E732A8">
        <w:rPr>
          <w:i/>
          <w:iCs/>
          <w:szCs w:val="22"/>
        </w:rPr>
        <w:t xml:space="preserve"> </w:t>
      </w:r>
      <w:r w:rsidR="00FA2DFE">
        <w:rPr>
          <w:i/>
          <w:iCs/>
          <w:szCs w:val="22"/>
        </w:rPr>
        <w:t>με</w:t>
      </w:r>
      <w:r w:rsidR="00E732A8">
        <w:rPr>
          <w:i/>
          <w:iCs/>
          <w:szCs w:val="22"/>
        </w:rPr>
        <w:t xml:space="preserve"> παρουσία </w:t>
      </w:r>
      <w:r w:rsidR="00927941">
        <w:rPr>
          <w:i/>
          <w:iCs/>
          <w:szCs w:val="22"/>
        </w:rPr>
        <w:t xml:space="preserve">στην παραγωγή αλλά και την διάθεση </w:t>
      </w:r>
      <w:r w:rsidR="006609FA">
        <w:rPr>
          <w:i/>
          <w:iCs/>
          <w:szCs w:val="22"/>
        </w:rPr>
        <w:t>ηλεκτρικής</w:t>
      </w:r>
      <w:r w:rsidR="00927941">
        <w:rPr>
          <w:i/>
          <w:iCs/>
          <w:szCs w:val="22"/>
        </w:rPr>
        <w:t xml:space="preserve"> ενέργειας, το οποίο μας προσφέρει</w:t>
      </w:r>
      <w:r w:rsidR="003F09D6">
        <w:rPr>
          <w:i/>
          <w:iCs/>
          <w:szCs w:val="22"/>
        </w:rPr>
        <w:t xml:space="preserve"> ανθεκτικότητα</w:t>
      </w:r>
      <w:r w:rsidR="001234DA">
        <w:rPr>
          <w:i/>
          <w:iCs/>
          <w:szCs w:val="22"/>
        </w:rPr>
        <w:t xml:space="preserve"> σε περιόδους μεταβλητότ</w:t>
      </w:r>
      <w:r w:rsidR="00F24C3A">
        <w:rPr>
          <w:i/>
          <w:iCs/>
          <w:szCs w:val="22"/>
        </w:rPr>
        <w:t xml:space="preserve">ητας </w:t>
      </w:r>
      <w:r w:rsidR="0086459A">
        <w:rPr>
          <w:i/>
          <w:iCs/>
          <w:szCs w:val="22"/>
        </w:rPr>
        <w:t>κα</w:t>
      </w:r>
      <w:r w:rsidR="003350F2">
        <w:rPr>
          <w:i/>
          <w:iCs/>
          <w:szCs w:val="22"/>
        </w:rPr>
        <w:t>θώς</w:t>
      </w:r>
      <w:r w:rsidR="00F24C3A">
        <w:rPr>
          <w:i/>
          <w:iCs/>
          <w:szCs w:val="22"/>
        </w:rPr>
        <w:t xml:space="preserve"> και </w:t>
      </w:r>
      <w:r w:rsidR="006609FA">
        <w:rPr>
          <w:i/>
          <w:iCs/>
          <w:szCs w:val="22"/>
        </w:rPr>
        <w:t>ευκαιρίες</w:t>
      </w:r>
      <w:r w:rsidR="00F24C3A">
        <w:rPr>
          <w:i/>
          <w:iCs/>
          <w:szCs w:val="22"/>
        </w:rPr>
        <w:t xml:space="preserve"> για να μπορέσουμε να αναπτύξουμε περαιτέρω τις δραστηριότητές </w:t>
      </w:r>
      <w:r w:rsidR="007F6EFE">
        <w:rPr>
          <w:i/>
          <w:iCs/>
          <w:szCs w:val="22"/>
        </w:rPr>
        <w:t xml:space="preserve">μας και να </w:t>
      </w:r>
      <w:r w:rsidR="006609FA">
        <w:rPr>
          <w:i/>
          <w:iCs/>
          <w:szCs w:val="22"/>
        </w:rPr>
        <w:t>δημιουργήσουμε</w:t>
      </w:r>
      <w:r w:rsidR="007F6EFE">
        <w:rPr>
          <w:i/>
          <w:iCs/>
          <w:szCs w:val="22"/>
        </w:rPr>
        <w:t xml:space="preserve"> </w:t>
      </w:r>
      <w:r w:rsidR="006609FA">
        <w:rPr>
          <w:i/>
          <w:iCs/>
          <w:szCs w:val="22"/>
        </w:rPr>
        <w:t>αξία</w:t>
      </w:r>
      <w:r w:rsidR="007F6EFE">
        <w:rPr>
          <w:i/>
          <w:iCs/>
          <w:szCs w:val="22"/>
        </w:rPr>
        <w:t xml:space="preserve"> </w:t>
      </w:r>
      <w:r w:rsidR="006609FA">
        <w:rPr>
          <w:i/>
          <w:iCs/>
          <w:szCs w:val="22"/>
        </w:rPr>
        <w:t>για τους μετόχους μας.»</w:t>
      </w:r>
    </w:p>
    <w:p w14:paraId="4F33FFDC" w14:textId="77777777" w:rsidR="007E0086" w:rsidRPr="006609FA" w:rsidRDefault="007E0086" w:rsidP="00145FF1">
      <w:pPr>
        <w:pStyle w:val="DehPressRelease"/>
        <w:jc w:val="both"/>
        <w:rPr>
          <w:i/>
          <w:iCs/>
          <w:szCs w:val="22"/>
          <w:highlight w:val="yellow"/>
        </w:rPr>
      </w:pPr>
    </w:p>
    <w:p w14:paraId="6260FADF" w14:textId="06081C9F" w:rsidR="00145FF1" w:rsidRPr="00704014" w:rsidRDefault="00145FF1" w:rsidP="007E0086">
      <w:pPr>
        <w:spacing w:after="160"/>
        <w:jc w:val="both"/>
        <w:rPr>
          <w:rFonts w:ascii="Ping LCG Regular" w:hAnsi="Ping LCG Regular"/>
          <w:b/>
          <w:bCs/>
          <w:sz w:val="22"/>
          <w:szCs w:val="22"/>
          <w:lang w:val="el-GR"/>
        </w:rPr>
      </w:pPr>
      <w:r w:rsidRPr="00704014">
        <w:rPr>
          <w:rFonts w:ascii="Ping LCG Regular" w:hAnsi="Ping LCG Regular"/>
          <w:b/>
          <w:bCs/>
          <w:sz w:val="22"/>
          <w:szCs w:val="22"/>
          <w:lang w:val="el-GR"/>
        </w:rPr>
        <w:t xml:space="preserve">Προοπτικές για το 2024 </w:t>
      </w:r>
    </w:p>
    <w:p w14:paraId="3D851713" w14:textId="41111FB1" w:rsidR="00145FF1" w:rsidRPr="00704014" w:rsidRDefault="00145FF1" w:rsidP="00145FF1">
      <w:pPr>
        <w:jc w:val="both"/>
        <w:rPr>
          <w:rFonts w:ascii="Ping LCG Regular" w:hAnsi="Ping LCG Regular"/>
          <w:sz w:val="22"/>
          <w:szCs w:val="22"/>
          <w:lang w:val="el-GR"/>
        </w:rPr>
      </w:pPr>
      <w:r w:rsidRPr="00704014">
        <w:rPr>
          <w:rFonts w:ascii="Ping LCG Regular" w:hAnsi="Ping LCG Regular"/>
          <w:sz w:val="22"/>
          <w:szCs w:val="22"/>
          <w:lang w:val="el-GR"/>
        </w:rPr>
        <w:t xml:space="preserve">Για το 2024, η ΔΕΗ </w:t>
      </w:r>
      <w:r w:rsidR="00D41BB2" w:rsidRPr="00704014">
        <w:rPr>
          <w:rFonts w:ascii="Ping LCG Regular" w:hAnsi="Ping LCG Regular"/>
          <w:sz w:val="22"/>
          <w:szCs w:val="22"/>
          <w:lang w:val="el-GR"/>
        </w:rPr>
        <w:t xml:space="preserve">αναβαθμίζει </w:t>
      </w:r>
      <w:r w:rsidRPr="00704014">
        <w:rPr>
          <w:rFonts w:ascii="Ping LCG Regular" w:hAnsi="Ping LCG Regular"/>
          <w:sz w:val="22"/>
          <w:szCs w:val="22"/>
          <w:lang w:val="el-GR"/>
        </w:rPr>
        <w:t>το</w:t>
      </w:r>
      <w:r w:rsidR="00BC04A2" w:rsidRPr="00704014">
        <w:rPr>
          <w:rFonts w:ascii="Ping LCG Regular" w:hAnsi="Ping LCG Regular"/>
          <w:sz w:val="22"/>
          <w:szCs w:val="22"/>
          <w:lang w:val="el-GR"/>
        </w:rPr>
        <w:t xml:space="preserve">ν στόχο για </w:t>
      </w:r>
      <w:r w:rsidR="00CD59A9" w:rsidRPr="00704014">
        <w:rPr>
          <w:rFonts w:ascii="Ping LCG Regular" w:hAnsi="Ping LCG Regular"/>
          <w:sz w:val="22"/>
          <w:szCs w:val="22"/>
          <w:lang w:val="el-GR"/>
        </w:rPr>
        <w:t>επαναλαμβανόμεν</w:t>
      </w:r>
      <w:r w:rsidR="00D41BB2" w:rsidRPr="00704014">
        <w:rPr>
          <w:rFonts w:ascii="Ping LCG Regular" w:hAnsi="Ping LCG Regular"/>
          <w:sz w:val="22"/>
          <w:szCs w:val="22"/>
          <w:lang w:val="el-GR"/>
        </w:rPr>
        <w:t>ο</w:t>
      </w:r>
      <w:r w:rsidR="00CD59A9" w:rsidRPr="00704014">
        <w:rPr>
          <w:rFonts w:ascii="Ping LCG Regular" w:hAnsi="Ping LCG Regular"/>
          <w:sz w:val="22"/>
          <w:szCs w:val="22"/>
          <w:lang w:val="el-GR"/>
        </w:rPr>
        <w:t xml:space="preserve"> </w:t>
      </w:r>
      <w:r w:rsidR="00BC04A2" w:rsidRPr="00704014">
        <w:rPr>
          <w:rFonts w:ascii="Ping LCG Regular" w:hAnsi="Ping LCG Regular"/>
          <w:sz w:val="22"/>
          <w:szCs w:val="22"/>
        </w:rPr>
        <w:t>EBITDA</w:t>
      </w:r>
      <w:r w:rsidR="00CD59A9" w:rsidRPr="00704014">
        <w:rPr>
          <w:rFonts w:ascii="Ping LCG Regular" w:hAnsi="Ping LCG Regular"/>
          <w:sz w:val="22"/>
          <w:szCs w:val="22"/>
          <w:lang w:val="el-GR"/>
        </w:rPr>
        <w:t xml:space="preserve"> στα €1,</w:t>
      </w:r>
      <w:r w:rsidR="00D41BB2" w:rsidRPr="00704014">
        <w:rPr>
          <w:rFonts w:ascii="Ping LCG Regular" w:hAnsi="Ping LCG Regular"/>
          <w:sz w:val="22"/>
          <w:szCs w:val="22"/>
          <w:lang w:val="el-GR"/>
        </w:rPr>
        <w:t>8</w:t>
      </w:r>
      <w:r w:rsidR="00CD59A9" w:rsidRPr="00704014">
        <w:rPr>
          <w:rFonts w:ascii="Ping LCG Regular" w:hAnsi="Ping LCG Regular"/>
          <w:sz w:val="22"/>
          <w:szCs w:val="22"/>
          <w:lang w:val="el-GR"/>
        </w:rPr>
        <w:t>δι</w:t>
      </w:r>
      <w:r w:rsidR="00F6411E" w:rsidRPr="00704014">
        <w:rPr>
          <w:rFonts w:ascii="Ping LCG Regular" w:hAnsi="Ping LCG Regular"/>
          <w:sz w:val="22"/>
          <w:szCs w:val="22"/>
          <w:lang w:val="el-GR"/>
        </w:rPr>
        <w:t>σ</w:t>
      </w:r>
      <w:r w:rsidR="00CD59A9" w:rsidRPr="00704014">
        <w:rPr>
          <w:rFonts w:ascii="Ping LCG Regular" w:hAnsi="Ping LCG Regular"/>
          <w:sz w:val="22"/>
          <w:szCs w:val="22"/>
          <w:lang w:val="el-GR"/>
        </w:rPr>
        <w:t>.</w:t>
      </w:r>
      <w:r w:rsidRPr="00704014">
        <w:rPr>
          <w:rFonts w:ascii="Ping LCG Regular" w:hAnsi="Ping LCG Regular"/>
          <w:sz w:val="22"/>
          <w:szCs w:val="22"/>
          <w:lang w:val="el-GR"/>
        </w:rPr>
        <w:t xml:space="preserve">, </w:t>
      </w:r>
      <w:r w:rsidR="00D41BB2" w:rsidRPr="00704014">
        <w:rPr>
          <w:rFonts w:ascii="Ping LCG Regular" w:hAnsi="Ping LCG Regular"/>
          <w:sz w:val="22"/>
          <w:szCs w:val="22"/>
          <w:lang w:val="el-GR"/>
        </w:rPr>
        <w:t>σε συνέχεια των ισχυρών αποτελεσμάτων</w:t>
      </w:r>
      <w:r w:rsidR="00C84162" w:rsidRPr="00704014">
        <w:rPr>
          <w:rFonts w:ascii="Ping LCG Regular" w:hAnsi="Ping LCG Regular"/>
          <w:sz w:val="22"/>
          <w:szCs w:val="22"/>
          <w:lang w:val="el-GR"/>
        </w:rPr>
        <w:t xml:space="preserve"> του α΄ τριμήνου 2024</w:t>
      </w:r>
      <w:r w:rsidR="0044689A" w:rsidRPr="00704014">
        <w:rPr>
          <w:rFonts w:ascii="Ping LCG Regular" w:hAnsi="Ping LCG Regular"/>
          <w:sz w:val="22"/>
          <w:szCs w:val="22"/>
          <w:lang w:val="el-GR"/>
        </w:rPr>
        <w:t xml:space="preserve"> και παρά την συνεχιζόμενη μεταβλητότητα </w:t>
      </w:r>
      <w:r w:rsidR="008F6881" w:rsidRPr="00704014">
        <w:rPr>
          <w:rFonts w:ascii="Ping LCG Regular" w:hAnsi="Ping LCG Regular"/>
          <w:sz w:val="22"/>
          <w:szCs w:val="22"/>
          <w:lang w:val="el-GR"/>
        </w:rPr>
        <w:t xml:space="preserve">στις αγορές ηλεκτρικής ενέργειας. </w:t>
      </w:r>
      <w:r w:rsidRPr="00704014">
        <w:rPr>
          <w:rFonts w:ascii="Ping LCG Regular" w:hAnsi="Ping LCG Regular"/>
          <w:sz w:val="22"/>
          <w:szCs w:val="22"/>
          <w:lang w:val="el-GR"/>
        </w:rPr>
        <w:t xml:space="preserve"> </w:t>
      </w:r>
    </w:p>
    <w:p w14:paraId="35D31A7B" w14:textId="77777777" w:rsidR="00145FF1" w:rsidRPr="00DE2285" w:rsidRDefault="00145FF1" w:rsidP="00145FF1">
      <w:pPr>
        <w:jc w:val="both"/>
        <w:rPr>
          <w:rFonts w:ascii="Ping LCG Regular" w:hAnsi="Ping LCG Regular"/>
          <w:sz w:val="22"/>
          <w:szCs w:val="22"/>
          <w:highlight w:val="yellow"/>
          <w:lang w:val="el-GR"/>
        </w:rPr>
      </w:pPr>
    </w:p>
    <w:p w14:paraId="7EABADB5" w14:textId="77777777" w:rsidR="00145FF1" w:rsidRPr="00DE2285" w:rsidRDefault="00145FF1" w:rsidP="00145FF1">
      <w:pPr>
        <w:jc w:val="both"/>
        <w:rPr>
          <w:rFonts w:ascii="Ping LCG Regular" w:hAnsi="Ping LCG Regular"/>
          <w:sz w:val="22"/>
          <w:szCs w:val="22"/>
          <w:highlight w:val="yellow"/>
          <w:lang w:val="el-GR"/>
        </w:rPr>
      </w:pPr>
    </w:p>
    <w:p w14:paraId="1B33EE78" w14:textId="77777777" w:rsidR="00145FF1" w:rsidRPr="00F31D81" w:rsidRDefault="00145FF1" w:rsidP="00145FF1">
      <w:pPr>
        <w:pStyle w:val="DehPressRelease"/>
        <w:rPr>
          <w:b/>
          <w:bCs/>
          <w:szCs w:val="22"/>
        </w:rPr>
      </w:pPr>
      <w:r w:rsidRPr="00F31D81">
        <w:rPr>
          <w:b/>
          <w:bCs/>
          <w:szCs w:val="22"/>
        </w:rPr>
        <w:t xml:space="preserve">Δραστηριότητα Εμπορίας </w:t>
      </w:r>
    </w:p>
    <w:p w14:paraId="325032DC" w14:textId="4E19E2A8" w:rsidR="00145FF1" w:rsidRPr="00F31D81" w:rsidRDefault="00145FF1" w:rsidP="00145FF1">
      <w:pPr>
        <w:pStyle w:val="DehPressRelease"/>
        <w:spacing w:after="0"/>
        <w:jc w:val="both"/>
        <w:rPr>
          <w:szCs w:val="22"/>
        </w:rPr>
      </w:pPr>
      <w:r w:rsidRPr="00F31D81">
        <w:rPr>
          <w:szCs w:val="22"/>
        </w:rPr>
        <w:t>Η ζήτηση ηλεκτρικής ενέργειας στην Ελλάδα αυξήθηκε</w:t>
      </w:r>
      <w:r w:rsidR="004167DB">
        <w:rPr>
          <w:szCs w:val="22"/>
        </w:rPr>
        <w:t xml:space="preserve"> κατά</w:t>
      </w:r>
      <w:r w:rsidR="000D35B3">
        <w:rPr>
          <w:szCs w:val="22"/>
        </w:rPr>
        <w:t xml:space="preserve"> 2,2%</w:t>
      </w:r>
      <w:r w:rsidRPr="00F31D81">
        <w:rPr>
          <w:szCs w:val="22"/>
        </w:rPr>
        <w:t xml:space="preserve"> το </w:t>
      </w:r>
      <w:r w:rsidR="00E256B7" w:rsidRPr="00F31D81">
        <w:rPr>
          <w:szCs w:val="22"/>
        </w:rPr>
        <w:t>α</w:t>
      </w:r>
      <w:r w:rsidRPr="00F31D81">
        <w:rPr>
          <w:szCs w:val="22"/>
        </w:rPr>
        <w:t>’ τρίμηνο 202</w:t>
      </w:r>
      <w:r w:rsidR="00E256B7" w:rsidRPr="00F31D81">
        <w:rPr>
          <w:szCs w:val="22"/>
        </w:rPr>
        <w:t>4</w:t>
      </w:r>
      <w:r w:rsidR="007E3909">
        <w:rPr>
          <w:rStyle w:val="FootnoteReference"/>
          <w:szCs w:val="22"/>
        </w:rPr>
        <w:footnoteReference w:id="2"/>
      </w:r>
      <w:r w:rsidR="00A6446B" w:rsidRPr="00F31D81">
        <w:rPr>
          <w:szCs w:val="22"/>
        </w:rPr>
        <w:t>,</w:t>
      </w:r>
      <w:r w:rsidRPr="00F31D81">
        <w:rPr>
          <w:szCs w:val="22"/>
        </w:rPr>
        <w:t xml:space="preserve"> σε σχέση με την αντίστοιχη περίοδο του 202</w:t>
      </w:r>
      <w:r w:rsidR="00E256B7" w:rsidRPr="00F31D81">
        <w:rPr>
          <w:szCs w:val="22"/>
        </w:rPr>
        <w:t>3</w:t>
      </w:r>
      <w:r w:rsidRPr="00F31D81">
        <w:rPr>
          <w:szCs w:val="22"/>
        </w:rPr>
        <w:t xml:space="preserve">. Στην Ρουμανία, η ζήτηση ηλεκτρικής ενέργειας </w:t>
      </w:r>
      <w:r w:rsidR="00DC32B4" w:rsidRPr="00F31D81">
        <w:rPr>
          <w:szCs w:val="22"/>
        </w:rPr>
        <w:t xml:space="preserve">αυξήθηκε κατά </w:t>
      </w:r>
      <w:r w:rsidR="00CD078D">
        <w:rPr>
          <w:szCs w:val="22"/>
        </w:rPr>
        <w:t>1,9</w:t>
      </w:r>
      <w:r w:rsidR="00DC32B4" w:rsidRPr="00F31D81">
        <w:rPr>
          <w:szCs w:val="22"/>
        </w:rPr>
        <w:t>% το α’</w:t>
      </w:r>
      <w:r w:rsidR="007C0828" w:rsidRPr="00F31D81">
        <w:rPr>
          <w:szCs w:val="22"/>
        </w:rPr>
        <w:t xml:space="preserve"> </w:t>
      </w:r>
      <w:r w:rsidR="00DC32B4" w:rsidRPr="00F31D81">
        <w:rPr>
          <w:szCs w:val="22"/>
        </w:rPr>
        <w:t>τρ</w:t>
      </w:r>
      <w:r w:rsidR="007C0828" w:rsidRPr="00F31D81">
        <w:rPr>
          <w:szCs w:val="22"/>
        </w:rPr>
        <w:t>ίμηνο 2024</w:t>
      </w:r>
      <w:r w:rsidR="00467C62">
        <w:rPr>
          <w:rStyle w:val="FootnoteReference"/>
          <w:szCs w:val="22"/>
        </w:rPr>
        <w:footnoteReference w:id="3"/>
      </w:r>
      <w:r w:rsidR="007C0828" w:rsidRPr="00F31D81">
        <w:rPr>
          <w:szCs w:val="22"/>
        </w:rPr>
        <w:t xml:space="preserve"> έναντι </w:t>
      </w:r>
      <w:r w:rsidR="006970D1" w:rsidRPr="00F31D81">
        <w:rPr>
          <w:szCs w:val="22"/>
        </w:rPr>
        <w:t>της αντίστοιχης περιόδου το 2023.</w:t>
      </w:r>
      <w:r w:rsidR="00623688">
        <w:rPr>
          <w:szCs w:val="22"/>
        </w:rPr>
        <w:t xml:space="preserve"> </w:t>
      </w:r>
    </w:p>
    <w:p w14:paraId="49BBDD6A" w14:textId="77777777" w:rsidR="00145FF1" w:rsidRPr="00DE2285" w:rsidRDefault="00145FF1" w:rsidP="00145FF1">
      <w:pPr>
        <w:pStyle w:val="DehPressRelease"/>
        <w:spacing w:after="0"/>
        <w:jc w:val="both"/>
        <w:rPr>
          <w:szCs w:val="22"/>
          <w:highlight w:val="yellow"/>
        </w:rPr>
      </w:pPr>
    </w:p>
    <w:p w14:paraId="7E503585" w14:textId="32032A44" w:rsidR="00FF580E" w:rsidRDefault="00145FF1" w:rsidP="00704014">
      <w:pPr>
        <w:pStyle w:val="DehPressRelease"/>
        <w:spacing w:after="240"/>
        <w:jc w:val="both"/>
      </w:pPr>
      <w:r w:rsidRPr="0085703D">
        <w:rPr>
          <w:szCs w:val="22"/>
        </w:rPr>
        <w:t>Το</w:t>
      </w:r>
      <w:r w:rsidRPr="00B86066">
        <w:rPr>
          <w:szCs w:val="22"/>
        </w:rPr>
        <w:t xml:space="preserve"> </w:t>
      </w:r>
      <w:r w:rsidRPr="0085703D">
        <w:rPr>
          <w:szCs w:val="22"/>
        </w:rPr>
        <w:t>μέσο</w:t>
      </w:r>
      <w:r w:rsidRPr="00B86066">
        <w:rPr>
          <w:szCs w:val="22"/>
        </w:rPr>
        <w:t xml:space="preserve"> </w:t>
      </w:r>
      <w:r w:rsidRPr="0085703D">
        <w:rPr>
          <w:szCs w:val="22"/>
        </w:rPr>
        <w:t>μερίδιο</w:t>
      </w:r>
      <w:r w:rsidRPr="00B86066">
        <w:rPr>
          <w:szCs w:val="22"/>
        </w:rPr>
        <w:t xml:space="preserve"> </w:t>
      </w:r>
      <w:r w:rsidRPr="0085703D">
        <w:rPr>
          <w:szCs w:val="22"/>
        </w:rPr>
        <w:t>της</w:t>
      </w:r>
      <w:r w:rsidRPr="00B86066">
        <w:rPr>
          <w:szCs w:val="22"/>
        </w:rPr>
        <w:t xml:space="preserve"> </w:t>
      </w:r>
      <w:r w:rsidRPr="0085703D">
        <w:rPr>
          <w:szCs w:val="22"/>
        </w:rPr>
        <w:t>ΔΕΗ</w:t>
      </w:r>
      <w:r w:rsidRPr="00B86066">
        <w:rPr>
          <w:szCs w:val="22"/>
        </w:rPr>
        <w:t xml:space="preserve"> </w:t>
      </w:r>
      <w:r w:rsidRPr="0085703D">
        <w:rPr>
          <w:szCs w:val="22"/>
        </w:rPr>
        <w:t>στην</w:t>
      </w:r>
      <w:r w:rsidRPr="00B86066">
        <w:rPr>
          <w:szCs w:val="22"/>
        </w:rPr>
        <w:t xml:space="preserve"> </w:t>
      </w:r>
      <w:r w:rsidRPr="0085703D">
        <w:rPr>
          <w:szCs w:val="22"/>
        </w:rPr>
        <w:t>αγορά</w:t>
      </w:r>
      <w:r w:rsidRPr="00B86066">
        <w:rPr>
          <w:szCs w:val="22"/>
        </w:rPr>
        <w:t xml:space="preserve"> </w:t>
      </w:r>
      <w:r w:rsidRPr="0085703D">
        <w:rPr>
          <w:szCs w:val="22"/>
        </w:rPr>
        <w:t>προμήθειας</w:t>
      </w:r>
      <w:r w:rsidRPr="00B86066">
        <w:rPr>
          <w:szCs w:val="22"/>
        </w:rPr>
        <w:t xml:space="preserve"> </w:t>
      </w:r>
      <w:r w:rsidRPr="0085703D">
        <w:rPr>
          <w:szCs w:val="22"/>
        </w:rPr>
        <w:t>στην</w:t>
      </w:r>
      <w:r w:rsidRPr="00B86066">
        <w:rPr>
          <w:szCs w:val="22"/>
        </w:rPr>
        <w:t xml:space="preserve"> </w:t>
      </w:r>
      <w:r w:rsidRPr="0085703D">
        <w:rPr>
          <w:szCs w:val="22"/>
        </w:rPr>
        <w:t>Ελλάδα</w:t>
      </w:r>
      <w:r w:rsidRPr="00B86066">
        <w:rPr>
          <w:szCs w:val="22"/>
        </w:rPr>
        <w:t xml:space="preserve"> </w:t>
      </w:r>
      <w:r w:rsidRPr="0085703D">
        <w:rPr>
          <w:szCs w:val="22"/>
        </w:rPr>
        <w:t>μειώθηκε</w:t>
      </w:r>
      <w:r w:rsidRPr="00B86066">
        <w:rPr>
          <w:szCs w:val="22"/>
        </w:rPr>
        <w:t xml:space="preserve"> </w:t>
      </w:r>
      <w:r w:rsidRPr="0085703D">
        <w:rPr>
          <w:szCs w:val="22"/>
        </w:rPr>
        <w:t>σε</w:t>
      </w:r>
      <w:r w:rsidRPr="00B86066">
        <w:rPr>
          <w:szCs w:val="22"/>
        </w:rPr>
        <w:t xml:space="preserve"> 5</w:t>
      </w:r>
      <w:r w:rsidR="00AB31E6" w:rsidRPr="00AB31E6">
        <w:rPr>
          <w:szCs w:val="22"/>
        </w:rPr>
        <w:t>1</w:t>
      </w:r>
      <w:r w:rsidRPr="00B86066">
        <w:rPr>
          <w:szCs w:val="22"/>
        </w:rPr>
        <w:t xml:space="preserve">% </w:t>
      </w:r>
      <w:r w:rsidRPr="0085703D">
        <w:rPr>
          <w:szCs w:val="22"/>
        </w:rPr>
        <w:t>το</w:t>
      </w:r>
      <w:r w:rsidR="007C1492" w:rsidRPr="00B86066">
        <w:rPr>
          <w:szCs w:val="22"/>
        </w:rPr>
        <w:t xml:space="preserve"> </w:t>
      </w:r>
      <w:r w:rsidR="007C1492" w:rsidRPr="0085703D">
        <w:rPr>
          <w:szCs w:val="22"/>
        </w:rPr>
        <w:t>α</w:t>
      </w:r>
      <w:r w:rsidR="007C1492" w:rsidRPr="00B86066">
        <w:rPr>
          <w:szCs w:val="22"/>
        </w:rPr>
        <w:t xml:space="preserve">’ </w:t>
      </w:r>
      <w:r w:rsidR="007C1492" w:rsidRPr="0085703D">
        <w:rPr>
          <w:szCs w:val="22"/>
        </w:rPr>
        <w:t>τρίμηνο</w:t>
      </w:r>
      <w:r w:rsidRPr="00B86066">
        <w:rPr>
          <w:szCs w:val="22"/>
        </w:rPr>
        <w:t xml:space="preserve"> 202</w:t>
      </w:r>
      <w:r w:rsidR="007C1492" w:rsidRPr="00B86066">
        <w:rPr>
          <w:szCs w:val="22"/>
        </w:rPr>
        <w:t>4</w:t>
      </w:r>
      <w:r w:rsidRPr="00B86066">
        <w:rPr>
          <w:szCs w:val="22"/>
        </w:rPr>
        <w:t xml:space="preserve"> </w:t>
      </w:r>
      <w:r w:rsidRPr="0085703D">
        <w:rPr>
          <w:szCs w:val="22"/>
        </w:rPr>
        <w:t>από</w:t>
      </w:r>
      <w:r w:rsidRPr="00B86066">
        <w:rPr>
          <w:szCs w:val="22"/>
        </w:rPr>
        <w:t xml:space="preserve"> 6</w:t>
      </w:r>
      <w:r w:rsidR="00AB31E6" w:rsidRPr="000D6F54">
        <w:rPr>
          <w:szCs w:val="22"/>
        </w:rPr>
        <w:t>1</w:t>
      </w:r>
      <w:r w:rsidRPr="00B86066">
        <w:rPr>
          <w:szCs w:val="22"/>
        </w:rPr>
        <w:t xml:space="preserve">% </w:t>
      </w:r>
      <w:r w:rsidRPr="0085703D">
        <w:rPr>
          <w:szCs w:val="22"/>
        </w:rPr>
        <w:t>το</w:t>
      </w:r>
      <w:r w:rsidR="007C1492" w:rsidRPr="00B86066">
        <w:rPr>
          <w:szCs w:val="22"/>
        </w:rPr>
        <w:t xml:space="preserve"> </w:t>
      </w:r>
      <w:r w:rsidR="007C1492" w:rsidRPr="0085703D">
        <w:rPr>
          <w:szCs w:val="22"/>
        </w:rPr>
        <w:t>α</w:t>
      </w:r>
      <w:r w:rsidR="007C1492" w:rsidRPr="00B86066">
        <w:rPr>
          <w:szCs w:val="22"/>
        </w:rPr>
        <w:t xml:space="preserve">’ </w:t>
      </w:r>
      <w:r w:rsidR="007C1492" w:rsidRPr="0085703D">
        <w:rPr>
          <w:szCs w:val="22"/>
        </w:rPr>
        <w:t>τρίμηνο</w:t>
      </w:r>
      <w:r w:rsidRPr="00B86066">
        <w:rPr>
          <w:szCs w:val="22"/>
        </w:rPr>
        <w:t xml:space="preserve"> 202</w:t>
      </w:r>
      <w:r w:rsidR="007C1492" w:rsidRPr="00B86066">
        <w:rPr>
          <w:szCs w:val="22"/>
        </w:rPr>
        <w:t>3</w:t>
      </w:r>
      <w:r w:rsidR="009528C9" w:rsidRPr="00B86066">
        <w:rPr>
          <w:szCs w:val="22"/>
        </w:rPr>
        <w:t xml:space="preserve">, </w:t>
      </w:r>
      <w:r w:rsidR="00B86066" w:rsidRPr="00885CD0">
        <w:rPr>
          <w:szCs w:val="22"/>
        </w:rPr>
        <w:t xml:space="preserve">κυρίως λόγω της μείωσης </w:t>
      </w:r>
      <w:r w:rsidR="00AE5275" w:rsidRPr="00885CD0">
        <w:rPr>
          <w:szCs w:val="22"/>
        </w:rPr>
        <w:t>του μεριδίου στους πελάτες Υψηλής</w:t>
      </w:r>
      <w:r w:rsidR="009C628B" w:rsidRPr="00885CD0">
        <w:rPr>
          <w:szCs w:val="22"/>
        </w:rPr>
        <w:t xml:space="preserve"> Τάσης</w:t>
      </w:r>
      <w:r w:rsidR="00DE16BB" w:rsidRPr="00885CD0">
        <w:rPr>
          <w:szCs w:val="22"/>
        </w:rPr>
        <w:t xml:space="preserve"> </w:t>
      </w:r>
      <w:r w:rsidR="00BA1074">
        <w:rPr>
          <w:szCs w:val="22"/>
        </w:rPr>
        <w:t xml:space="preserve">σε συνέχεια της </w:t>
      </w:r>
      <w:r w:rsidR="00180910">
        <w:rPr>
          <w:szCs w:val="22"/>
        </w:rPr>
        <w:t>λήξη</w:t>
      </w:r>
      <w:r w:rsidR="00BA1074">
        <w:rPr>
          <w:szCs w:val="22"/>
        </w:rPr>
        <w:t>ς</w:t>
      </w:r>
      <w:r w:rsidR="00180910">
        <w:rPr>
          <w:szCs w:val="22"/>
        </w:rPr>
        <w:t xml:space="preserve"> τω</w:t>
      </w:r>
      <w:r w:rsidR="00885CD0" w:rsidRPr="00885CD0">
        <w:rPr>
          <w:szCs w:val="22"/>
        </w:rPr>
        <w:t>ν</w:t>
      </w:r>
      <w:r w:rsidR="00AE5275" w:rsidRPr="00885CD0">
        <w:rPr>
          <w:szCs w:val="22"/>
        </w:rPr>
        <w:t xml:space="preserve"> </w:t>
      </w:r>
      <w:r w:rsidR="00502FE1">
        <w:rPr>
          <w:szCs w:val="22"/>
        </w:rPr>
        <w:t xml:space="preserve">προϋπαρχόντων </w:t>
      </w:r>
      <w:r w:rsidR="00134259">
        <w:rPr>
          <w:szCs w:val="22"/>
        </w:rPr>
        <w:t>σταθερών τιμολογίων</w:t>
      </w:r>
      <w:r w:rsidRPr="002C361E">
        <w:rPr>
          <w:szCs w:val="22"/>
        </w:rPr>
        <w:t xml:space="preserve">. Στο </w:t>
      </w:r>
      <w:r w:rsidRPr="00714B60">
        <w:rPr>
          <w:szCs w:val="22"/>
        </w:rPr>
        <w:t>Διασυνδεδεμένο Σύστημα, το αντίστοιχο μέγεθος μειώθηκε σε 5</w:t>
      </w:r>
      <w:r w:rsidR="000D6F54" w:rsidRPr="00714B60">
        <w:rPr>
          <w:szCs w:val="22"/>
        </w:rPr>
        <w:t>1</w:t>
      </w:r>
      <w:r w:rsidRPr="00714B60">
        <w:rPr>
          <w:szCs w:val="22"/>
        </w:rPr>
        <w:t xml:space="preserve">% τον </w:t>
      </w:r>
      <w:r w:rsidR="00A544AF" w:rsidRPr="00714B60">
        <w:rPr>
          <w:szCs w:val="22"/>
        </w:rPr>
        <w:t>Μάρτιο</w:t>
      </w:r>
      <w:r w:rsidRPr="00714B60">
        <w:rPr>
          <w:szCs w:val="22"/>
        </w:rPr>
        <w:t xml:space="preserve"> 202</w:t>
      </w:r>
      <w:r w:rsidR="00A544AF" w:rsidRPr="00714B60">
        <w:rPr>
          <w:szCs w:val="22"/>
        </w:rPr>
        <w:t>4</w:t>
      </w:r>
      <w:r w:rsidRPr="00714B60">
        <w:rPr>
          <w:szCs w:val="22"/>
        </w:rPr>
        <w:t xml:space="preserve"> (από </w:t>
      </w:r>
      <w:r w:rsidR="00EF7DB0" w:rsidRPr="00714B60">
        <w:rPr>
          <w:szCs w:val="22"/>
        </w:rPr>
        <w:t>61</w:t>
      </w:r>
      <w:r w:rsidRPr="00714B60">
        <w:rPr>
          <w:szCs w:val="22"/>
        </w:rPr>
        <w:t xml:space="preserve">% τον </w:t>
      </w:r>
      <w:r w:rsidR="00EF7DB0" w:rsidRPr="00714B60">
        <w:rPr>
          <w:szCs w:val="22"/>
        </w:rPr>
        <w:t>Μάρτιο</w:t>
      </w:r>
      <w:r w:rsidRPr="00714B60">
        <w:rPr>
          <w:szCs w:val="22"/>
        </w:rPr>
        <w:t xml:space="preserve"> 202</w:t>
      </w:r>
      <w:r w:rsidR="00EF7DB0" w:rsidRPr="00714B60">
        <w:rPr>
          <w:szCs w:val="22"/>
        </w:rPr>
        <w:t>3</w:t>
      </w:r>
      <w:r w:rsidRPr="00714B60">
        <w:rPr>
          <w:szCs w:val="22"/>
        </w:rPr>
        <w:t xml:space="preserve">), ενώ το μέσο μερίδιο ανά τάση, ήταν </w:t>
      </w:r>
      <w:r w:rsidR="00AD4515" w:rsidRPr="00714B60">
        <w:rPr>
          <w:szCs w:val="22"/>
        </w:rPr>
        <w:t>23</w:t>
      </w:r>
      <w:r w:rsidRPr="00714B60">
        <w:rPr>
          <w:szCs w:val="22"/>
        </w:rPr>
        <w:t>% (από 8</w:t>
      </w:r>
      <w:r w:rsidR="003440C8" w:rsidRPr="00714B60">
        <w:rPr>
          <w:szCs w:val="22"/>
        </w:rPr>
        <w:t>4</w:t>
      </w:r>
      <w:r w:rsidRPr="00714B60">
        <w:rPr>
          <w:szCs w:val="22"/>
        </w:rPr>
        <w:t xml:space="preserve">%) στην Υψηλή Τάση, </w:t>
      </w:r>
      <w:r w:rsidR="00BF6774" w:rsidRPr="00714B60">
        <w:rPr>
          <w:szCs w:val="22"/>
        </w:rPr>
        <w:t>39</w:t>
      </w:r>
      <w:r w:rsidRPr="00714B60">
        <w:rPr>
          <w:szCs w:val="22"/>
        </w:rPr>
        <w:t xml:space="preserve">% (από </w:t>
      </w:r>
      <w:r w:rsidR="00BF6774" w:rsidRPr="00714B60">
        <w:rPr>
          <w:szCs w:val="22"/>
        </w:rPr>
        <w:t>3</w:t>
      </w:r>
      <w:r w:rsidR="000D6F54" w:rsidRPr="00714B60">
        <w:rPr>
          <w:szCs w:val="22"/>
        </w:rPr>
        <w:t>4</w:t>
      </w:r>
      <w:r w:rsidRPr="00714B60">
        <w:rPr>
          <w:szCs w:val="22"/>
        </w:rPr>
        <w:t>%) στη Μέση Τάση και 63% (από 6</w:t>
      </w:r>
      <w:r w:rsidR="005B561C" w:rsidRPr="00714B60">
        <w:rPr>
          <w:szCs w:val="22"/>
        </w:rPr>
        <w:t>5</w:t>
      </w:r>
      <w:r w:rsidRPr="00714B60">
        <w:rPr>
          <w:szCs w:val="22"/>
        </w:rPr>
        <w:t>%) στη Χαμηλή Τάση</w:t>
      </w:r>
      <w:r w:rsidRPr="00714B60">
        <w:rPr>
          <w:szCs w:val="22"/>
          <w:vertAlign w:val="superscript"/>
        </w:rPr>
        <w:footnoteReference w:id="4"/>
      </w:r>
      <w:r w:rsidRPr="00714B60">
        <w:rPr>
          <w:szCs w:val="22"/>
        </w:rPr>
        <w:t>. Στη Ρουμανία, το μέσο μερίδιο της ΔΕΗ στις πωλήσεις ηλεκτρικής ενέργειας διαμορφώθηκε σε 1</w:t>
      </w:r>
      <w:r w:rsidR="000D6F54" w:rsidRPr="00714B60">
        <w:rPr>
          <w:szCs w:val="22"/>
        </w:rPr>
        <w:t>6</w:t>
      </w:r>
      <w:r w:rsidRPr="00714B60">
        <w:rPr>
          <w:szCs w:val="22"/>
        </w:rPr>
        <w:t>%</w:t>
      </w:r>
      <w:r w:rsidR="00714B60" w:rsidRPr="00714B60">
        <w:rPr>
          <w:vertAlign w:val="superscript"/>
        </w:rPr>
        <w:footnoteReference w:id="5"/>
      </w:r>
      <w:r w:rsidR="00714B60" w:rsidRPr="00714B60">
        <w:rPr>
          <w:szCs w:val="22"/>
        </w:rPr>
        <w:t>.</w:t>
      </w:r>
    </w:p>
    <w:p w14:paraId="6ECC43E9" w14:textId="77777777" w:rsidR="00D41BB2" w:rsidRDefault="00D41BB2" w:rsidP="00145FF1">
      <w:pPr>
        <w:pStyle w:val="DehPressRelease"/>
        <w:spacing w:line="240" w:lineRule="auto"/>
        <w:jc w:val="both"/>
        <w:rPr>
          <w:b/>
          <w:bCs/>
          <w:szCs w:val="22"/>
        </w:rPr>
      </w:pPr>
    </w:p>
    <w:p w14:paraId="77B5FF14" w14:textId="77777777" w:rsidR="00B72A1D" w:rsidRDefault="00B72A1D">
      <w:pPr>
        <w:rPr>
          <w:rFonts w:ascii="Ping LCG Regular" w:hAnsi="Ping LCG Regular"/>
          <w:b/>
          <w:bCs/>
          <w:sz w:val="22"/>
          <w:szCs w:val="22"/>
          <w:lang w:val="el-GR"/>
        </w:rPr>
      </w:pPr>
      <w:r w:rsidRPr="00453CBA">
        <w:rPr>
          <w:b/>
          <w:bCs/>
          <w:szCs w:val="22"/>
          <w:lang w:val="el-GR"/>
        </w:rPr>
        <w:br w:type="page"/>
      </w:r>
    </w:p>
    <w:p w14:paraId="11879C4B" w14:textId="5614D180" w:rsidR="00145FF1" w:rsidRPr="00551CCA" w:rsidRDefault="00145FF1" w:rsidP="00145FF1">
      <w:pPr>
        <w:pStyle w:val="DehPressRelease"/>
        <w:spacing w:line="240" w:lineRule="auto"/>
        <w:jc w:val="both"/>
        <w:rPr>
          <w:b/>
          <w:bCs/>
          <w:szCs w:val="22"/>
        </w:rPr>
      </w:pPr>
      <w:r w:rsidRPr="00551CCA">
        <w:rPr>
          <w:b/>
          <w:bCs/>
          <w:szCs w:val="22"/>
        </w:rPr>
        <w:lastRenderedPageBreak/>
        <w:t>Δραστηριότητα Παραγωγής</w:t>
      </w:r>
    </w:p>
    <w:p w14:paraId="1A839575" w14:textId="54B22A95" w:rsidR="00145FF1" w:rsidRPr="00B74786" w:rsidRDefault="00145FF1" w:rsidP="00145FF1">
      <w:pPr>
        <w:pStyle w:val="DehPressRelease"/>
        <w:jc w:val="both"/>
        <w:rPr>
          <w:szCs w:val="22"/>
        </w:rPr>
      </w:pPr>
      <w:r w:rsidRPr="00B74786">
        <w:rPr>
          <w:szCs w:val="22"/>
        </w:rPr>
        <w:t>Στην παραγωγή ηλεκτρικής ενέργειας, το μέσο μερίδιο της ΔΕΗ στην Ελλάδα μειώθηκε σε 3</w:t>
      </w:r>
      <w:r w:rsidR="00516A93" w:rsidRPr="00B74786">
        <w:rPr>
          <w:szCs w:val="22"/>
        </w:rPr>
        <w:t>3</w:t>
      </w:r>
      <w:r w:rsidRPr="00B74786">
        <w:rPr>
          <w:szCs w:val="22"/>
        </w:rPr>
        <w:t>% το</w:t>
      </w:r>
      <w:r w:rsidR="00516A93" w:rsidRPr="00B74786">
        <w:rPr>
          <w:szCs w:val="22"/>
        </w:rPr>
        <w:t xml:space="preserve"> α’ τρίμηνο</w:t>
      </w:r>
      <w:r w:rsidRPr="00B74786">
        <w:rPr>
          <w:szCs w:val="22"/>
        </w:rPr>
        <w:t xml:space="preserve"> 202</w:t>
      </w:r>
      <w:r w:rsidR="00516A93" w:rsidRPr="00B74786">
        <w:rPr>
          <w:szCs w:val="22"/>
        </w:rPr>
        <w:t>4</w:t>
      </w:r>
      <w:r w:rsidRPr="00B74786">
        <w:rPr>
          <w:szCs w:val="22"/>
        </w:rPr>
        <w:t xml:space="preserve"> από </w:t>
      </w:r>
      <w:r w:rsidR="00516A93" w:rsidRPr="00B74786">
        <w:rPr>
          <w:szCs w:val="22"/>
        </w:rPr>
        <w:t>39</w:t>
      </w:r>
      <w:r w:rsidRPr="00B74786">
        <w:rPr>
          <w:szCs w:val="22"/>
        </w:rPr>
        <w:t>% το</w:t>
      </w:r>
      <w:r w:rsidR="004210AD" w:rsidRPr="00B74786">
        <w:rPr>
          <w:szCs w:val="22"/>
        </w:rPr>
        <w:t xml:space="preserve"> α’ τρίμηνο</w:t>
      </w:r>
      <w:r w:rsidRPr="00B74786">
        <w:rPr>
          <w:szCs w:val="22"/>
        </w:rPr>
        <w:t xml:space="preserve"> 202</w:t>
      </w:r>
      <w:r w:rsidR="004210AD" w:rsidRPr="00B74786">
        <w:rPr>
          <w:szCs w:val="22"/>
        </w:rPr>
        <w:t>3</w:t>
      </w:r>
      <w:r w:rsidR="00A242DC" w:rsidRPr="00B74786">
        <w:rPr>
          <w:szCs w:val="22"/>
        </w:rPr>
        <w:t>. Η μείωση οφείλεται</w:t>
      </w:r>
      <w:r w:rsidRPr="00B74786">
        <w:rPr>
          <w:szCs w:val="22"/>
        </w:rPr>
        <w:t xml:space="preserve"> κυρίως </w:t>
      </w:r>
      <w:r w:rsidR="00A07497" w:rsidRPr="00B74786">
        <w:rPr>
          <w:szCs w:val="22"/>
        </w:rPr>
        <w:t xml:space="preserve">στη χαμηλότερη παραγωγή από </w:t>
      </w:r>
      <w:r w:rsidR="00BA6469" w:rsidRPr="00B74786">
        <w:rPr>
          <w:szCs w:val="22"/>
        </w:rPr>
        <w:t>λιγνιτικές μονάδες</w:t>
      </w:r>
      <w:r w:rsidR="0046700A" w:rsidRPr="00B74786">
        <w:rPr>
          <w:szCs w:val="22"/>
        </w:rPr>
        <w:t xml:space="preserve"> καθώς η ΔΕΗ </w:t>
      </w:r>
      <w:r w:rsidR="00373E29">
        <w:rPr>
          <w:szCs w:val="22"/>
        </w:rPr>
        <w:t>συνεχίζει την υλοποίηση του πλάνου της</w:t>
      </w:r>
      <w:r w:rsidR="00E86217">
        <w:rPr>
          <w:szCs w:val="22"/>
        </w:rPr>
        <w:t xml:space="preserve"> για</w:t>
      </w:r>
      <w:r w:rsidR="00D64733" w:rsidRPr="00B74786">
        <w:rPr>
          <w:szCs w:val="22"/>
        </w:rPr>
        <w:t xml:space="preserve"> </w:t>
      </w:r>
      <w:r w:rsidR="004C3870">
        <w:rPr>
          <w:szCs w:val="22"/>
        </w:rPr>
        <w:t xml:space="preserve">την </w:t>
      </w:r>
      <w:r w:rsidR="009D46AA">
        <w:rPr>
          <w:szCs w:val="22"/>
        </w:rPr>
        <w:t>πλήρη απολιγνιτοποίηση</w:t>
      </w:r>
      <w:r w:rsidR="004C3870">
        <w:rPr>
          <w:szCs w:val="22"/>
        </w:rPr>
        <w:t xml:space="preserve"> </w:t>
      </w:r>
      <w:r w:rsidR="000E4F47">
        <w:rPr>
          <w:szCs w:val="22"/>
        </w:rPr>
        <w:t>του ενεργειακού της μείγματος</w:t>
      </w:r>
      <w:r w:rsidR="00F45C2A">
        <w:rPr>
          <w:szCs w:val="22"/>
        </w:rPr>
        <w:t xml:space="preserve"> </w:t>
      </w:r>
      <w:r w:rsidR="000E4F47">
        <w:rPr>
          <w:szCs w:val="22"/>
        </w:rPr>
        <w:t>μέχρι</w:t>
      </w:r>
      <w:r w:rsidR="009D46AA">
        <w:rPr>
          <w:szCs w:val="22"/>
        </w:rPr>
        <w:t xml:space="preserve"> το 2026</w:t>
      </w:r>
      <w:r w:rsidR="00F45C2A">
        <w:rPr>
          <w:szCs w:val="22"/>
        </w:rPr>
        <w:t>.</w:t>
      </w:r>
      <w:r w:rsidR="00BA6469" w:rsidRPr="00B74786">
        <w:rPr>
          <w:szCs w:val="22"/>
        </w:rPr>
        <w:t xml:space="preserve"> </w:t>
      </w:r>
      <w:r w:rsidRPr="00B74786">
        <w:rPr>
          <w:szCs w:val="22"/>
        </w:rPr>
        <w:t xml:space="preserve">Στη Ρουμανία, το μέσο μερίδιο της ΔΕΗ στην παραγωγή από ΑΠΕ (αιολικά/ηλιακά) διαμορφώθηκε σε 14% παραμένοντας περίπου στα ίδια επίπεδα σε σχέση με το </w:t>
      </w:r>
      <w:r w:rsidR="00157AAF">
        <w:rPr>
          <w:szCs w:val="22"/>
        </w:rPr>
        <w:t xml:space="preserve">α' τρίμηνο </w:t>
      </w:r>
      <w:r w:rsidRPr="00B74786">
        <w:rPr>
          <w:szCs w:val="22"/>
        </w:rPr>
        <w:t>202</w:t>
      </w:r>
      <w:r w:rsidR="003B2B94">
        <w:rPr>
          <w:szCs w:val="22"/>
        </w:rPr>
        <w:t>3</w:t>
      </w:r>
      <w:r w:rsidRPr="00B74786">
        <w:rPr>
          <w:szCs w:val="22"/>
        </w:rPr>
        <w:t xml:space="preserve"> (1</w:t>
      </w:r>
      <w:r w:rsidR="00B74786" w:rsidRPr="00B74786">
        <w:rPr>
          <w:szCs w:val="22"/>
        </w:rPr>
        <w:t>4</w:t>
      </w:r>
      <w:r w:rsidRPr="00B74786">
        <w:rPr>
          <w:szCs w:val="22"/>
        </w:rPr>
        <w:t>%).</w:t>
      </w:r>
    </w:p>
    <w:p w14:paraId="4509636C" w14:textId="16D3F1B1" w:rsidR="00145FF1" w:rsidRPr="00FA26F3" w:rsidRDefault="00145FF1" w:rsidP="00145FF1">
      <w:pPr>
        <w:pStyle w:val="DehPressRelease"/>
        <w:jc w:val="both"/>
        <w:rPr>
          <w:szCs w:val="22"/>
        </w:rPr>
      </w:pPr>
      <w:r w:rsidRPr="00C67ECF">
        <w:rPr>
          <w:szCs w:val="22"/>
        </w:rPr>
        <w:t xml:space="preserve">Η μετάβαση σε πιο καθαρές μορφές ενέργειας συνεχίστηκε με μείωση </w:t>
      </w:r>
      <w:r w:rsidRPr="00FA26F3">
        <w:rPr>
          <w:szCs w:val="22"/>
        </w:rPr>
        <w:t xml:space="preserve">των εκπομπών </w:t>
      </w:r>
      <w:r w:rsidRPr="00FA26F3">
        <w:rPr>
          <w:szCs w:val="22"/>
          <w:lang w:val="en-US"/>
        </w:rPr>
        <w:t>CO</w:t>
      </w:r>
      <w:r w:rsidRPr="00FA26F3">
        <w:rPr>
          <w:szCs w:val="22"/>
          <w:vertAlign w:val="subscript"/>
        </w:rPr>
        <w:t>2</w:t>
      </w:r>
      <w:r w:rsidRPr="00FA26F3">
        <w:rPr>
          <w:szCs w:val="22"/>
        </w:rPr>
        <w:t xml:space="preserve"> (</w:t>
      </w:r>
      <w:r w:rsidRPr="00FA26F3">
        <w:rPr>
          <w:szCs w:val="22"/>
          <w:lang w:val="en-US"/>
        </w:rPr>
        <w:t>Scope</w:t>
      </w:r>
      <w:r w:rsidRPr="00FA26F3">
        <w:rPr>
          <w:szCs w:val="22"/>
        </w:rPr>
        <w:t xml:space="preserve"> 1) κατά </w:t>
      </w:r>
      <w:r w:rsidR="004223C6">
        <w:rPr>
          <w:szCs w:val="22"/>
        </w:rPr>
        <w:t>1</w:t>
      </w:r>
      <w:r w:rsidR="00157AAF">
        <w:rPr>
          <w:szCs w:val="22"/>
        </w:rPr>
        <w:t>8</w:t>
      </w:r>
      <w:r w:rsidRPr="00FA26F3">
        <w:rPr>
          <w:szCs w:val="22"/>
        </w:rPr>
        <w:t xml:space="preserve">% </w:t>
      </w:r>
      <w:r w:rsidR="00265062" w:rsidRPr="00FA26F3">
        <w:rPr>
          <w:szCs w:val="22"/>
        </w:rPr>
        <w:t xml:space="preserve">η οποία </w:t>
      </w:r>
      <w:r w:rsidRPr="00FA26F3">
        <w:rPr>
          <w:szCs w:val="22"/>
        </w:rPr>
        <w:t xml:space="preserve">οδήγησε σε βελτίωση της έντασης εκπομπών </w:t>
      </w:r>
      <w:r w:rsidRPr="00FA26F3">
        <w:rPr>
          <w:szCs w:val="22"/>
          <w:lang w:val="en-US"/>
        </w:rPr>
        <w:t>CO</w:t>
      </w:r>
      <w:r w:rsidRPr="00FA26F3">
        <w:rPr>
          <w:szCs w:val="22"/>
          <w:vertAlign w:val="subscript"/>
        </w:rPr>
        <w:t>2</w:t>
      </w:r>
      <w:r w:rsidRPr="00FA26F3">
        <w:rPr>
          <w:szCs w:val="22"/>
        </w:rPr>
        <w:t xml:space="preserve"> σε 0,5</w:t>
      </w:r>
      <w:r w:rsidR="00157AAF">
        <w:rPr>
          <w:szCs w:val="22"/>
        </w:rPr>
        <w:t>0</w:t>
      </w:r>
      <w:r w:rsidRPr="00FA26F3">
        <w:rPr>
          <w:szCs w:val="22"/>
        </w:rPr>
        <w:t xml:space="preserve"> τόνους ανά </w:t>
      </w:r>
      <w:r w:rsidR="00FA26F3" w:rsidRPr="00FA26F3">
        <w:rPr>
          <w:szCs w:val="22"/>
        </w:rPr>
        <w:t>παραγόμενη</w:t>
      </w:r>
      <w:r w:rsidRPr="00FA26F3">
        <w:rPr>
          <w:szCs w:val="22"/>
        </w:rPr>
        <w:t xml:space="preserve"> </w:t>
      </w:r>
      <w:r w:rsidRPr="00FA26F3">
        <w:rPr>
          <w:szCs w:val="22"/>
          <w:lang w:val="en-US"/>
        </w:rPr>
        <w:t>MWh</w:t>
      </w:r>
      <w:r w:rsidRPr="00FA26F3">
        <w:rPr>
          <w:szCs w:val="22"/>
        </w:rPr>
        <w:t xml:space="preserve"> από 0,6</w:t>
      </w:r>
      <w:r w:rsidR="009D4065" w:rsidRPr="009D4065">
        <w:rPr>
          <w:szCs w:val="22"/>
        </w:rPr>
        <w:t>5</w:t>
      </w:r>
      <w:r w:rsidRPr="00FA26F3">
        <w:rPr>
          <w:szCs w:val="22"/>
        </w:rPr>
        <w:t xml:space="preserve"> τόνους ανά </w:t>
      </w:r>
      <w:r w:rsidR="00FA26F3" w:rsidRPr="00FA26F3">
        <w:rPr>
          <w:szCs w:val="22"/>
        </w:rPr>
        <w:t>παραγόμενη</w:t>
      </w:r>
      <w:r w:rsidRPr="00FA26F3">
        <w:rPr>
          <w:szCs w:val="22"/>
        </w:rPr>
        <w:t xml:space="preserve"> </w:t>
      </w:r>
      <w:r w:rsidRPr="00FA26F3">
        <w:rPr>
          <w:szCs w:val="22"/>
          <w:lang w:val="en-US"/>
        </w:rPr>
        <w:t>MWh</w:t>
      </w:r>
      <w:r w:rsidRPr="00FA26F3">
        <w:rPr>
          <w:szCs w:val="22"/>
        </w:rPr>
        <w:t xml:space="preserve"> το </w:t>
      </w:r>
      <w:r w:rsidR="00EF6546">
        <w:rPr>
          <w:szCs w:val="22"/>
        </w:rPr>
        <w:t>α</w:t>
      </w:r>
      <w:r w:rsidR="00C67ECF">
        <w:rPr>
          <w:szCs w:val="22"/>
        </w:rPr>
        <w:t xml:space="preserve">’ </w:t>
      </w:r>
      <w:r w:rsidR="00EF6546">
        <w:rPr>
          <w:szCs w:val="22"/>
        </w:rPr>
        <w:t xml:space="preserve">τρίμηνο του </w:t>
      </w:r>
      <w:r w:rsidRPr="00FA26F3">
        <w:rPr>
          <w:szCs w:val="22"/>
        </w:rPr>
        <w:t>202</w:t>
      </w:r>
      <w:r w:rsidR="00C67ECF">
        <w:rPr>
          <w:szCs w:val="22"/>
        </w:rPr>
        <w:t>3</w:t>
      </w:r>
      <w:r w:rsidRPr="00FA26F3">
        <w:rPr>
          <w:szCs w:val="22"/>
        </w:rPr>
        <w:t>.</w:t>
      </w:r>
    </w:p>
    <w:p w14:paraId="14380FBD" w14:textId="77777777" w:rsidR="00145FF1" w:rsidRPr="00DE2285" w:rsidRDefault="00145FF1" w:rsidP="00145FF1">
      <w:pPr>
        <w:pStyle w:val="DehPressRelease"/>
        <w:jc w:val="both"/>
        <w:rPr>
          <w:szCs w:val="22"/>
          <w:highlight w:val="yellow"/>
        </w:rPr>
      </w:pPr>
    </w:p>
    <w:p w14:paraId="45C06F8C" w14:textId="3716D691" w:rsidR="00145FF1" w:rsidRPr="00953577" w:rsidRDefault="00145FF1" w:rsidP="00145FF1">
      <w:pPr>
        <w:pStyle w:val="DehPressRelease"/>
        <w:spacing w:line="240" w:lineRule="auto"/>
        <w:jc w:val="both"/>
        <w:rPr>
          <w:b/>
          <w:bCs/>
          <w:szCs w:val="22"/>
        </w:rPr>
      </w:pPr>
      <w:r w:rsidRPr="0015328A">
        <w:rPr>
          <w:b/>
          <w:bCs/>
          <w:szCs w:val="22"/>
        </w:rPr>
        <w:t>Δραστηριότητα</w:t>
      </w:r>
      <w:r w:rsidRPr="00E83D5B">
        <w:rPr>
          <w:b/>
          <w:bCs/>
          <w:szCs w:val="22"/>
        </w:rPr>
        <w:t xml:space="preserve"> </w:t>
      </w:r>
      <w:r w:rsidRPr="0015328A">
        <w:rPr>
          <w:b/>
          <w:bCs/>
          <w:szCs w:val="22"/>
        </w:rPr>
        <w:t>Διανομής</w:t>
      </w:r>
      <w:r w:rsidR="00B1652C" w:rsidRPr="00E83D5B">
        <w:rPr>
          <w:b/>
          <w:bCs/>
          <w:szCs w:val="22"/>
        </w:rPr>
        <w:t xml:space="preserve"> </w:t>
      </w:r>
      <w:r w:rsidR="00953577">
        <w:rPr>
          <w:b/>
          <w:bCs/>
          <w:color w:val="FF0000"/>
          <w:szCs w:val="22"/>
        </w:rPr>
        <w:t xml:space="preserve"> </w:t>
      </w:r>
    </w:p>
    <w:p w14:paraId="14371354" w14:textId="4166ED3E" w:rsidR="00386CC0" w:rsidRPr="00DF7880" w:rsidRDefault="00386CC0" w:rsidP="008E7128">
      <w:pPr>
        <w:pStyle w:val="DehPressRelease"/>
        <w:jc w:val="both"/>
        <w:rPr>
          <w:szCs w:val="22"/>
        </w:rPr>
      </w:pPr>
      <w:r w:rsidRPr="00DF7880">
        <w:rPr>
          <w:szCs w:val="22"/>
        </w:rPr>
        <w:t xml:space="preserve">Η ΔΕΗ επικεντρώνεται στην ψηφιοποίηση </w:t>
      </w:r>
      <w:r>
        <w:rPr>
          <w:szCs w:val="22"/>
        </w:rPr>
        <w:t xml:space="preserve">της δραστηριότητας </w:t>
      </w:r>
      <w:r w:rsidRPr="00DF7880">
        <w:rPr>
          <w:szCs w:val="22"/>
        </w:rPr>
        <w:t xml:space="preserve">διανομής και στη βελτίωση των επιδόσεών της. </w:t>
      </w:r>
    </w:p>
    <w:p w14:paraId="4C699383" w14:textId="71EBFF92" w:rsidR="007A14AD" w:rsidRDefault="007A14AD" w:rsidP="008E7128">
      <w:pPr>
        <w:pStyle w:val="DehPressRelease"/>
        <w:jc w:val="both"/>
        <w:rPr>
          <w:szCs w:val="22"/>
        </w:rPr>
      </w:pPr>
      <w:r w:rsidRPr="00386CC0">
        <w:rPr>
          <w:szCs w:val="22"/>
        </w:rPr>
        <w:t xml:space="preserve">Αν και καταγράφηκε </w:t>
      </w:r>
      <w:r w:rsidR="00351330">
        <w:rPr>
          <w:szCs w:val="22"/>
        </w:rPr>
        <w:t>ελαφρά επιδείνωση</w:t>
      </w:r>
      <w:r w:rsidRPr="00386CC0">
        <w:rPr>
          <w:szCs w:val="22"/>
        </w:rPr>
        <w:t xml:space="preserve"> σε ορισμένους δείκτες επιδόσεων το </w:t>
      </w:r>
      <w:r w:rsidR="00217226">
        <w:rPr>
          <w:szCs w:val="22"/>
        </w:rPr>
        <w:t>α’</w:t>
      </w:r>
      <w:r w:rsidRPr="00386CC0">
        <w:rPr>
          <w:szCs w:val="22"/>
        </w:rPr>
        <w:t xml:space="preserve"> τρίμηνο 2024 σε σχέση με την αντίστοιχη περίοδο του 2023, αυτό δεν σηματοδοτεί αλλαγή στη θετική τάση της προηγούμενης περιόδου, δεδομένων των σημαντικών επενδύσεων που υλοποιούμε για τον εκσυγχρονισμό των δικτύων μας τόσο στην Ελλάδα όσο και στη Ρουμανία</w:t>
      </w:r>
      <w:r w:rsidR="009D489E">
        <w:rPr>
          <w:szCs w:val="22"/>
        </w:rPr>
        <w:t>. Συγκεκριμένα</w:t>
      </w:r>
      <w:r w:rsidR="00D677E6">
        <w:rPr>
          <w:szCs w:val="22"/>
        </w:rPr>
        <w:t>,</w:t>
      </w:r>
      <w:r w:rsidR="009D489E">
        <w:rPr>
          <w:szCs w:val="22"/>
        </w:rPr>
        <w:t xml:space="preserve"> στην Ρουμανία,</w:t>
      </w:r>
      <w:r w:rsidR="0032033F">
        <w:rPr>
          <w:szCs w:val="22"/>
        </w:rPr>
        <w:t xml:space="preserve"> ο δείκτης </w:t>
      </w:r>
      <w:r w:rsidR="0032033F">
        <w:rPr>
          <w:szCs w:val="22"/>
          <w:lang w:val="en-US"/>
        </w:rPr>
        <w:t>SAIDI</w:t>
      </w:r>
      <w:r w:rsidR="0032033F" w:rsidRPr="0032033F">
        <w:rPr>
          <w:szCs w:val="22"/>
        </w:rPr>
        <w:t xml:space="preserve"> </w:t>
      </w:r>
      <w:r w:rsidR="0032033F">
        <w:rPr>
          <w:szCs w:val="22"/>
        </w:rPr>
        <w:t>μειώθηκε σ</w:t>
      </w:r>
      <w:r w:rsidR="00AE4EEC">
        <w:rPr>
          <w:szCs w:val="22"/>
        </w:rPr>
        <w:t>τα</w:t>
      </w:r>
      <w:r w:rsidR="0032033F">
        <w:rPr>
          <w:szCs w:val="22"/>
        </w:rPr>
        <w:t xml:space="preserve"> 18 λεπτά </w:t>
      </w:r>
      <w:r w:rsidR="00FD0EB8">
        <w:rPr>
          <w:szCs w:val="22"/>
        </w:rPr>
        <w:t>(από 20 λεπτά)</w:t>
      </w:r>
      <w:r w:rsidR="00FD7560">
        <w:rPr>
          <w:szCs w:val="22"/>
        </w:rPr>
        <w:t xml:space="preserve"> και στην Ελλάδα αυξ</w:t>
      </w:r>
      <w:r w:rsidR="00893004">
        <w:rPr>
          <w:szCs w:val="22"/>
        </w:rPr>
        <w:t>ήθηκε στα 26 λεπτά (από 24 λεπτά).</w:t>
      </w:r>
      <w:r w:rsidR="00945942" w:rsidRPr="00945942">
        <w:t xml:space="preserve"> </w:t>
      </w:r>
      <w:r w:rsidR="00945942">
        <w:rPr>
          <w:szCs w:val="22"/>
        </w:rPr>
        <w:t>Ο</w:t>
      </w:r>
      <w:r w:rsidR="009260D8">
        <w:rPr>
          <w:szCs w:val="22"/>
        </w:rPr>
        <w:t xml:space="preserve"> δείκτης </w:t>
      </w:r>
      <w:r w:rsidR="009260D8">
        <w:rPr>
          <w:szCs w:val="22"/>
          <w:lang w:val="en-US"/>
        </w:rPr>
        <w:t>SAIFI</w:t>
      </w:r>
      <w:r w:rsidR="009260D8" w:rsidRPr="00BE2EA1">
        <w:rPr>
          <w:szCs w:val="22"/>
        </w:rPr>
        <w:t xml:space="preserve"> </w:t>
      </w:r>
      <w:r w:rsidR="009260D8">
        <w:rPr>
          <w:szCs w:val="22"/>
        </w:rPr>
        <w:t>παρέμεινε σταθερός στην Ελλάδα σε 0,3 φορές</w:t>
      </w:r>
      <w:r w:rsidR="00BE2EA1">
        <w:rPr>
          <w:szCs w:val="22"/>
        </w:rPr>
        <w:t xml:space="preserve"> και στην Ρουμανία </w:t>
      </w:r>
      <w:r w:rsidR="00E75643">
        <w:rPr>
          <w:szCs w:val="22"/>
        </w:rPr>
        <w:t xml:space="preserve">αυξήθηκε οριακά σε 0,6 φορές (από </w:t>
      </w:r>
      <w:r w:rsidR="003A4C41">
        <w:rPr>
          <w:szCs w:val="22"/>
        </w:rPr>
        <w:t>0,5 φορές).</w:t>
      </w:r>
    </w:p>
    <w:p w14:paraId="1E2869D5" w14:textId="5E9F2FC9" w:rsidR="00C4367F" w:rsidRDefault="00C4367F" w:rsidP="008E7128">
      <w:pPr>
        <w:pStyle w:val="DehPressRelease"/>
        <w:jc w:val="both"/>
        <w:rPr>
          <w:szCs w:val="22"/>
        </w:rPr>
      </w:pPr>
      <w:r w:rsidRPr="00E45D5F">
        <w:rPr>
          <w:szCs w:val="22"/>
        </w:rPr>
        <w:t xml:space="preserve">Η διείσδυση των έξυπνων μετρητών είναι ήδη αρκετά υψηλή στη Ρουμανία και συνεχίζει να αυξάνεται (48%), ενώ στην Ελλάδα (11%) αναμένεται να επιταχυνθεί παράλληλα με την ευρύτερη </w:t>
      </w:r>
      <w:r w:rsidR="00CB53B7">
        <w:rPr>
          <w:szCs w:val="22"/>
        </w:rPr>
        <w:t xml:space="preserve">εγκατάσταση </w:t>
      </w:r>
      <w:r w:rsidR="00C1477A">
        <w:rPr>
          <w:szCs w:val="22"/>
        </w:rPr>
        <w:t>τους</w:t>
      </w:r>
      <w:r w:rsidRPr="00E45D5F">
        <w:rPr>
          <w:szCs w:val="22"/>
        </w:rPr>
        <w:t xml:space="preserve"> στη χώρα.</w:t>
      </w:r>
    </w:p>
    <w:p w14:paraId="7947A431" w14:textId="4DB4E372" w:rsidR="000D01A3" w:rsidRPr="000D01A3" w:rsidRDefault="000D01A3" w:rsidP="008E7128">
      <w:pPr>
        <w:pStyle w:val="DehPressRelease"/>
        <w:jc w:val="both"/>
        <w:rPr>
          <w:szCs w:val="22"/>
        </w:rPr>
      </w:pPr>
      <w:r w:rsidRPr="000D01A3">
        <w:rPr>
          <w:szCs w:val="22"/>
        </w:rPr>
        <w:t xml:space="preserve">Η </w:t>
      </w:r>
      <w:r w:rsidR="00C1477A">
        <w:rPr>
          <w:szCs w:val="22"/>
        </w:rPr>
        <w:t>ένταξη</w:t>
      </w:r>
      <w:r w:rsidRPr="000D01A3">
        <w:rPr>
          <w:szCs w:val="22"/>
        </w:rPr>
        <w:t xml:space="preserve"> των σταθμών </w:t>
      </w:r>
      <w:r w:rsidR="00592F15">
        <w:rPr>
          <w:szCs w:val="22"/>
        </w:rPr>
        <w:t>ΑΠΕ</w:t>
      </w:r>
      <w:r w:rsidRPr="000D01A3">
        <w:rPr>
          <w:szCs w:val="22"/>
        </w:rPr>
        <w:t xml:space="preserve"> έχει </w:t>
      </w:r>
      <w:r w:rsidR="001072A1">
        <w:rPr>
          <w:szCs w:val="22"/>
        </w:rPr>
        <w:t>αρχίσει να δείχνει σημάδια σταθεροποίησης</w:t>
      </w:r>
      <w:r w:rsidRPr="000D01A3">
        <w:rPr>
          <w:szCs w:val="22"/>
        </w:rPr>
        <w:t xml:space="preserve">, μετά </w:t>
      </w:r>
      <w:r w:rsidR="00C00909">
        <w:rPr>
          <w:szCs w:val="22"/>
        </w:rPr>
        <w:t>τη</w:t>
      </w:r>
      <w:r w:rsidRPr="000D01A3">
        <w:rPr>
          <w:szCs w:val="22"/>
        </w:rPr>
        <w:t xml:space="preserve"> σημαντική ανάπτυξη των προηγούμενων ετών που καταγράφηκε ιδιαίτερα στην Ελλάδα.  Όσον αφορά </w:t>
      </w:r>
      <w:r w:rsidR="00165F00">
        <w:rPr>
          <w:szCs w:val="22"/>
        </w:rPr>
        <w:t>στ</w:t>
      </w:r>
      <w:r w:rsidRPr="000D01A3">
        <w:rPr>
          <w:szCs w:val="22"/>
        </w:rPr>
        <w:t xml:space="preserve">α μεγέθη, 185MW συνδέθηκαν στο δίκτυο στην Ελλάδα έναντι 267MW το </w:t>
      </w:r>
      <w:r>
        <w:rPr>
          <w:szCs w:val="22"/>
        </w:rPr>
        <w:t>α</w:t>
      </w:r>
      <w:r w:rsidRPr="000D01A3">
        <w:rPr>
          <w:szCs w:val="22"/>
        </w:rPr>
        <w:t xml:space="preserve">’ τρίμηνο του 2023, ενώ τα αντίστοιχα μεγέθη στη Ρουμανία </w:t>
      </w:r>
      <w:r w:rsidR="00165F00">
        <w:rPr>
          <w:szCs w:val="22"/>
        </w:rPr>
        <w:t>διαμορφώθηκαν</w:t>
      </w:r>
      <w:r w:rsidRPr="000D01A3">
        <w:rPr>
          <w:szCs w:val="22"/>
        </w:rPr>
        <w:t xml:space="preserve"> σε 60MW και 70MW.  </w:t>
      </w:r>
    </w:p>
    <w:p w14:paraId="43834231" w14:textId="77777777" w:rsidR="00145FF1" w:rsidRPr="000D01A3" w:rsidRDefault="00145FF1" w:rsidP="00945942">
      <w:pPr>
        <w:pStyle w:val="DehPressRelease"/>
        <w:jc w:val="both"/>
        <w:rPr>
          <w:szCs w:val="22"/>
        </w:rPr>
      </w:pPr>
    </w:p>
    <w:p w14:paraId="1D8F21D4" w14:textId="77777777" w:rsidR="00145FF1" w:rsidRPr="0076453B" w:rsidRDefault="00145FF1" w:rsidP="00145FF1">
      <w:pPr>
        <w:pStyle w:val="DehPressRelease"/>
        <w:spacing w:after="0" w:line="240" w:lineRule="auto"/>
        <w:jc w:val="both"/>
        <w:rPr>
          <w:b/>
          <w:bCs/>
          <w:szCs w:val="22"/>
        </w:rPr>
      </w:pPr>
      <w:r w:rsidRPr="0076453B">
        <w:rPr>
          <w:b/>
          <w:bCs/>
          <w:szCs w:val="22"/>
        </w:rPr>
        <w:t xml:space="preserve">Τηλεπικοινωνίες </w:t>
      </w:r>
    </w:p>
    <w:p w14:paraId="17117532" w14:textId="77777777" w:rsidR="00145FF1" w:rsidRPr="0076453B" w:rsidRDefault="00145FF1" w:rsidP="00145FF1">
      <w:pPr>
        <w:pStyle w:val="DehPressRelease"/>
        <w:spacing w:after="0" w:line="240" w:lineRule="auto"/>
        <w:jc w:val="both"/>
        <w:rPr>
          <w:b/>
          <w:bCs/>
          <w:szCs w:val="22"/>
        </w:rPr>
      </w:pPr>
    </w:p>
    <w:p w14:paraId="13C9B4F7" w14:textId="286D8F85" w:rsidR="00145FF1" w:rsidRPr="0076453B" w:rsidRDefault="00145FF1" w:rsidP="00145FF1">
      <w:pPr>
        <w:pStyle w:val="DehPressRelease"/>
        <w:spacing w:after="0" w:line="240" w:lineRule="auto"/>
        <w:jc w:val="both"/>
        <w:rPr>
          <w:szCs w:val="22"/>
        </w:rPr>
      </w:pPr>
      <w:r w:rsidRPr="0076453B">
        <w:rPr>
          <w:szCs w:val="22"/>
        </w:rPr>
        <w:t xml:space="preserve">Στην ανάπτυξη του </w:t>
      </w:r>
      <w:r w:rsidRPr="0076453B">
        <w:rPr>
          <w:szCs w:val="22"/>
          <w:lang w:val="en-US"/>
        </w:rPr>
        <w:t>Fiber</w:t>
      </w:r>
      <w:r w:rsidRPr="0076453B">
        <w:rPr>
          <w:szCs w:val="22"/>
        </w:rPr>
        <w:t>-</w:t>
      </w:r>
      <w:r w:rsidRPr="0076453B">
        <w:rPr>
          <w:szCs w:val="22"/>
          <w:lang w:val="en-US"/>
        </w:rPr>
        <w:t>to</w:t>
      </w:r>
      <w:r w:rsidRPr="0076453B">
        <w:rPr>
          <w:szCs w:val="22"/>
        </w:rPr>
        <w:t>-</w:t>
      </w:r>
      <w:r w:rsidRPr="0076453B">
        <w:rPr>
          <w:szCs w:val="22"/>
          <w:lang w:val="en-US"/>
        </w:rPr>
        <w:t>the</w:t>
      </w:r>
      <w:r w:rsidRPr="0076453B">
        <w:rPr>
          <w:szCs w:val="22"/>
        </w:rPr>
        <w:t>-</w:t>
      </w:r>
      <w:r w:rsidRPr="0076453B">
        <w:rPr>
          <w:szCs w:val="22"/>
          <w:lang w:val="en-US"/>
        </w:rPr>
        <w:t>home</w:t>
      </w:r>
      <w:r w:rsidRPr="0076453B">
        <w:rPr>
          <w:szCs w:val="22"/>
        </w:rPr>
        <w:t xml:space="preserve">, το πλάνο προχωράει έχοντας φτάσει σε </w:t>
      </w:r>
      <w:r w:rsidR="0076453B" w:rsidRPr="0076453B">
        <w:rPr>
          <w:szCs w:val="22"/>
        </w:rPr>
        <w:t>185</w:t>
      </w:r>
      <w:r w:rsidRPr="0076453B">
        <w:rPr>
          <w:szCs w:val="22"/>
        </w:rPr>
        <w:t xml:space="preserve">.000 σπίτια στην Αττική στο τέλος Μαρτίου 2024. Στόχος είναι το δίκτυο </w:t>
      </w:r>
      <w:r w:rsidRPr="0076453B">
        <w:rPr>
          <w:szCs w:val="22"/>
          <w:lang w:val="en-US"/>
        </w:rPr>
        <w:t>FTTH</w:t>
      </w:r>
      <w:r w:rsidRPr="0076453B">
        <w:rPr>
          <w:szCs w:val="22"/>
        </w:rPr>
        <w:t xml:space="preserve"> να φτάσει σε 500.000 νοικοκυριά και επιχειρήσεις στο τέλος του 2024 και σε 1,7 εκατ. το 2025. </w:t>
      </w:r>
      <w:r w:rsidR="0076453B" w:rsidRPr="0076453B">
        <w:rPr>
          <w:szCs w:val="22"/>
        </w:rPr>
        <w:t xml:space="preserve"> </w:t>
      </w:r>
    </w:p>
    <w:p w14:paraId="3C302B3E" w14:textId="77777777" w:rsidR="00145FF1" w:rsidRPr="00DE2285" w:rsidRDefault="00145FF1" w:rsidP="00145FF1">
      <w:pPr>
        <w:pStyle w:val="DehPressRelease"/>
        <w:spacing w:after="0" w:line="240" w:lineRule="auto"/>
        <w:jc w:val="both"/>
        <w:rPr>
          <w:szCs w:val="22"/>
          <w:highlight w:val="yellow"/>
        </w:rPr>
      </w:pPr>
    </w:p>
    <w:p w14:paraId="061C080C" w14:textId="77777777" w:rsidR="00186315" w:rsidRDefault="00186315" w:rsidP="00145FF1">
      <w:pPr>
        <w:pStyle w:val="DehPressRelease"/>
        <w:spacing w:line="240" w:lineRule="auto"/>
        <w:jc w:val="both"/>
        <w:rPr>
          <w:b/>
          <w:bCs/>
          <w:szCs w:val="22"/>
        </w:rPr>
      </w:pPr>
    </w:p>
    <w:p w14:paraId="1EF7B641" w14:textId="75F2FE8B" w:rsidR="00145FF1" w:rsidRPr="00325C1E" w:rsidRDefault="00145FF1" w:rsidP="00145FF1">
      <w:pPr>
        <w:pStyle w:val="DehPressRelease"/>
        <w:spacing w:line="240" w:lineRule="auto"/>
        <w:jc w:val="both"/>
        <w:rPr>
          <w:b/>
          <w:bCs/>
          <w:szCs w:val="22"/>
        </w:rPr>
      </w:pPr>
      <w:r w:rsidRPr="00325C1E">
        <w:rPr>
          <w:b/>
          <w:bCs/>
          <w:szCs w:val="22"/>
          <w:lang w:val="en-US"/>
        </w:rPr>
        <w:lastRenderedPageBreak/>
        <w:t>E</w:t>
      </w:r>
      <w:r w:rsidRPr="00325C1E">
        <w:rPr>
          <w:b/>
          <w:bCs/>
          <w:szCs w:val="22"/>
        </w:rPr>
        <w:t>-</w:t>
      </w:r>
      <w:r w:rsidRPr="00325C1E">
        <w:rPr>
          <w:b/>
          <w:bCs/>
          <w:szCs w:val="22"/>
          <w:lang w:val="en-US"/>
        </w:rPr>
        <w:t>mobility</w:t>
      </w:r>
    </w:p>
    <w:p w14:paraId="65697F46" w14:textId="77777777" w:rsidR="00676889" w:rsidRDefault="00676889" w:rsidP="009D4E41">
      <w:pPr>
        <w:pStyle w:val="DehPressRelease"/>
        <w:jc w:val="both"/>
        <w:rPr>
          <w:szCs w:val="22"/>
        </w:rPr>
      </w:pPr>
      <w:r w:rsidRPr="00676889">
        <w:rPr>
          <w:szCs w:val="22"/>
        </w:rPr>
        <w:t xml:space="preserve">Στον τομέα της ηλεκτροκίνησης, μέσω της ΔΕΗ blue, κατέχουμε ηγετικό μερίδιο αγοράς 35% στα δημόσια σημεία φόρτισης στην Ελλάδα, έχοντας 2.090 σημεία στο τέλος του α’ τριμήνου του 2024, αύξηση κατά 44% σε σύγκριση με την αντίστοιχη περίοδο του 2023. Στην Ρουμανία, συνεχίζουμε την ανάπτυξη των σημείων φόρτισης έχοντας φτάσει τα 400 σημεία έναντι 292. </w:t>
      </w:r>
    </w:p>
    <w:p w14:paraId="0ACBE690" w14:textId="77777777" w:rsidR="00633C98" w:rsidRPr="00453CBA" w:rsidRDefault="00633C98" w:rsidP="00633C98">
      <w:pPr>
        <w:rPr>
          <w:rFonts w:ascii="Ping LCG Regular" w:hAnsi="Ping LCG Regular"/>
          <w:b/>
          <w:bCs/>
          <w:sz w:val="20"/>
          <w:szCs w:val="20"/>
          <w:u w:val="single"/>
          <w:lang w:val="el-GR"/>
        </w:rPr>
      </w:pPr>
    </w:p>
    <w:p w14:paraId="5DE01C49" w14:textId="77777777" w:rsidR="00BD4236" w:rsidRPr="00453CBA" w:rsidRDefault="00BD4236" w:rsidP="00633C98">
      <w:pPr>
        <w:rPr>
          <w:rFonts w:ascii="Ping LCG Regular" w:hAnsi="Ping LCG Regular"/>
          <w:b/>
          <w:bCs/>
          <w:sz w:val="20"/>
          <w:szCs w:val="20"/>
          <w:u w:val="single"/>
          <w:lang w:val="el-GR"/>
        </w:rPr>
      </w:pPr>
    </w:p>
    <w:p w14:paraId="0D0023B0" w14:textId="77777777" w:rsidR="00BD4236" w:rsidRPr="00453CBA" w:rsidRDefault="00BD4236" w:rsidP="00633C98">
      <w:pPr>
        <w:rPr>
          <w:rFonts w:ascii="Ping LCG Regular" w:hAnsi="Ping LCG Regular"/>
          <w:b/>
          <w:bCs/>
          <w:sz w:val="20"/>
          <w:szCs w:val="20"/>
          <w:u w:val="single"/>
          <w:lang w:val="el-GR"/>
        </w:rPr>
      </w:pPr>
    </w:p>
    <w:p w14:paraId="2EEB2F03" w14:textId="77777777" w:rsidR="00BD4236" w:rsidRPr="00453CBA" w:rsidRDefault="00BD4236" w:rsidP="00633C98">
      <w:pPr>
        <w:rPr>
          <w:rFonts w:ascii="Ping LCG Regular" w:hAnsi="Ping LCG Regular"/>
          <w:b/>
          <w:bCs/>
          <w:sz w:val="20"/>
          <w:szCs w:val="20"/>
          <w:u w:val="single"/>
          <w:lang w:val="el-GR"/>
        </w:rPr>
      </w:pPr>
    </w:p>
    <w:p w14:paraId="6F6ED8BD" w14:textId="77777777" w:rsidR="00BD4236" w:rsidRPr="00453CBA" w:rsidRDefault="00BD4236" w:rsidP="00633C98">
      <w:pPr>
        <w:rPr>
          <w:rFonts w:ascii="Ping LCG Regular" w:hAnsi="Ping LCG Regular"/>
          <w:b/>
          <w:bCs/>
          <w:sz w:val="20"/>
          <w:szCs w:val="20"/>
          <w:u w:val="single"/>
          <w:lang w:val="el-GR"/>
        </w:rPr>
      </w:pPr>
    </w:p>
    <w:p w14:paraId="1298032E" w14:textId="77777777" w:rsidR="00BD4236" w:rsidRPr="00453CBA" w:rsidRDefault="00BD4236" w:rsidP="00633C98">
      <w:pPr>
        <w:rPr>
          <w:rFonts w:ascii="Ping LCG Regular" w:hAnsi="Ping LCG Regular"/>
          <w:b/>
          <w:bCs/>
          <w:sz w:val="20"/>
          <w:szCs w:val="20"/>
          <w:u w:val="single"/>
          <w:lang w:val="el-GR"/>
        </w:rPr>
      </w:pPr>
    </w:p>
    <w:p w14:paraId="6A4536C1" w14:textId="77777777" w:rsidR="00BD4236" w:rsidRPr="00453CBA" w:rsidRDefault="00BD4236" w:rsidP="00633C98">
      <w:pPr>
        <w:rPr>
          <w:rFonts w:ascii="Ping LCG Regular" w:hAnsi="Ping LCG Regular"/>
          <w:b/>
          <w:bCs/>
          <w:sz w:val="20"/>
          <w:szCs w:val="20"/>
          <w:u w:val="single"/>
          <w:lang w:val="el-GR"/>
        </w:rPr>
      </w:pPr>
    </w:p>
    <w:p w14:paraId="02D97666" w14:textId="77777777" w:rsidR="00BD4236" w:rsidRPr="00453CBA" w:rsidRDefault="00BD4236" w:rsidP="00633C98">
      <w:pPr>
        <w:rPr>
          <w:rFonts w:ascii="Ping LCG Regular" w:hAnsi="Ping LCG Regular"/>
          <w:b/>
          <w:bCs/>
          <w:sz w:val="20"/>
          <w:szCs w:val="20"/>
          <w:u w:val="single"/>
          <w:lang w:val="el-GR"/>
        </w:rPr>
      </w:pPr>
    </w:p>
    <w:p w14:paraId="6E78661D" w14:textId="77777777" w:rsidR="00BD4236" w:rsidRPr="00453CBA" w:rsidRDefault="00BD4236" w:rsidP="00633C98">
      <w:pPr>
        <w:rPr>
          <w:rFonts w:ascii="Ping LCG Regular" w:hAnsi="Ping LCG Regular"/>
          <w:b/>
          <w:bCs/>
          <w:sz w:val="20"/>
          <w:szCs w:val="20"/>
          <w:u w:val="single"/>
          <w:lang w:val="el-GR"/>
        </w:rPr>
      </w:pPr>
    </w:p>
    <w:p w14:paraId="2C759C61" w14:textId="77777777" w:rsidR="00633C98" w:rsidRPr="00453CBA" w:rsidRDefault="00633C98" w:rsidP="00633C98">
      <w:pPr>
        <w:rPr>
          <w:rFonts w:ascii="Ping LCG Regular" w:hAnsi="Ping LCG Regular"/>
          <w:b/>
          <w:bCs/>
          <w:sz w:val="20"/>
          <w:szCs w:val="20"/>
          <w:u w:val="single"/>
          <w:lang w:val="el-GR"/>
        </w:rPr>
      </w:pPr>
    </w:p>
    <w:p w14:paraId="6261FF0C" w14:textId="4B58E5D3" w:rsidR="00145FF1" w:rsidRPr="00E83D5B" w:rsidRDefault="00145FF1" w:rsidP="00633C98">
      <w:pPr>
        <w:rPr>
          <w:rFonts w:ascii="Ping LCG Regular" w:hAnsi="Ping LCG Regular"/>
          <w:b/>
          <w:bCs/>
          <w:sz w:val="20"/>
          <w:szCs w:val="20"/>
          <w:u w:val="single"/>
          <w:lang w:val="el-GR"/>
        </w:rPr>
      </w:pPr>
      <w:r w:rsidRPr="00E83D5B">
        <w:rPr>
          <w:rFonts w:ascii="Ping LCG Regular" w:hAnsi="Ping LCG Regular"/>
          <w:b/>
          <w:bCs/>
          <w:sz w:val="20"/>
          <w:szCs w:val="20"/>
          <w:u w:val="single"/>
          <w:lang w:val="el-GR"/>
        </w:rPr>
        <w:t>Πληροφορίες: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145FF1" w:rsidRPr="00E83D5B" w14:paraId="15AD2CD6" w14:textId="77777777" w:rsidTr="008E7128">
        <w:tc>
          <w:tcPr>
            <w:tcW w:w="4318" w:type="dxa"/>
          </w:tcPr>
          <w:p w14:paraId="64826179" w14:textId="77777777" w:rsidR="00145FF1" w:rsidRPr="00E83D5B" w:rsidRDefault="00145FF1" w:rsidP="008E7128">
            <w:pPr>
              <w:pStyle w:val="DehPressRelease"/>
              <w:spacing w:after="0" w:line="240" w:lineRule="auto"/>
              <w:rPr>
                <w:sz w:val="20"/>
                <w:szCs w:val="20"/>
              </w:rPr>
            </w:pPr>
            <w:r w:rsidRPr="00E83D5B">
              <w:rPr>
                <w:sz w:val="20"/>
                <w:szCs w:val="20"/>
              </w:rPr>
              <w:t>Διεύθυνση Επενδυτικών Σχέσεων</w:t>
            </w:r>
          </w:p>
          <w:p w14:paraId="78E2514B" w14:textId="77777777" w:rsidR="00145FF1" w:rsidRPr="00E83D5B" w:rsidRDefault="00145FF1" w:rsidP="008E7128">
            <w:pPr>
              <w:tabs>
                <w:tab w:val="left" w:pos="284"/>
              </w:tabs>
              <w:rPr>
                <w:rFonts w:ascii="Ping LCG Regular" w:hAnsi="Ping LCG Regular"/>
                <w:sz w:val="20"/>
                <w:szCs w:val="20"/>
                <w:lang w:val="el-GR"/>
              </w:rPr>
            </w:pPr>
            <w:r w:rsidRPr="00E83D5B">
              <w:rPr>
                <w:rFonts w:ascii="Ping LCG Regular" w:hAnsi="Ping LCG Regular"/>
                <w:sz w:val="20"/>
                <w:szCs w:val="20"/>
                <w:lang w:val="el-GR"/>
              </w:rPr>
              <w:t>Χαλκοκονδύλη 30, 104 32 Αθήνα</w:t>
            </w:r>
          </w:p>
          <w:p w14:paraId="1D55B17E" w14:textId="77777777" w:rsidR="00145FF1" w:rsidRPr="00E83D5B" w:rsidRDefault="00145FF1" w:rsidP="008E7128">
            <w:pPr>
              <w:tabs>
                <w:tab w:val="left" w:pos="284"/>
              </w:tabs>
              <w:rPr>
                <w:rFonts w:ascii="Ping LCG Regular" w:hAnsi="Ping LCG Regular"/>
                <w:sz w:val="20"/>
                <w:szCs w:val="20"/>
                <w:lang w:val="el-GR"/>
              </w:rPr>
            </w:pPr>
            <w:r w:rsidRPr="00E83D5B">
              <w:rPr>
                <w:rFonts w:ascii="Ping LCG Regular" w:hAnsi="Ping LCG Regular"/>
                <w:sz w:val="20"/>
                <w:szCs w:val="20"/>
                <w:lang w:val="el-GR"/>
              </w:rPr>
              <w:t xml:space="preserve">Τ: </w:t>
            </w:r>
            <w:r w:rsidRPr="00E83D5B">
              <w:rPr>
                <w:rFonts w:ascii="Ping LCG Regular" w:hAnsi="Ping LCG Regular"/>
                <w:sz w:val="20"/>
                <w:szCs w:val="20"/>
                <w:lang w:val="el-GR"/>
              </w:rPr>
              <w:tab/>
              <w:t>+30 210 529 2153</w:t>
            </w:r>
          </w:p>
          <w:p w14:paraId="7B87035D"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lang w:val="el-GR"/>
              </w:rPr>
              <w:tab/>
            </w:r>
            <w:r w:rsidRPr="00E83D5B">
              <w:rPr>
                <w:rFonts w:ascii="Ping LCG Regular" w:hAnsi="Ping LCG Regular"/>
                <w:sz w:val="20"/>
                <w:szCs w:val="20"/>
              </w:rPr>
              <w:t>+30 210 529 3665</w:t>
            </w:r>
          </w:p>
          <w:p w14:paraId="059909C4"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ab/>
              <w:t>+30 210 529 3207</w:t>
            </w:r>
          </w:p>
          <w:p w14:paraId="5B1844CC" w14:textId="77777777" w:rsidR="00145FF1" w:rsidRPr="00E83D5B" w:rsidRDefault="003D7403" w:rsidP="008E7128">
            <w:pPr>
              <w:pStyle w:val="DehPressRelease"/>
              <w:spacing w:after="0" w:line="240" w:lineRule="auto"/>
              <w:rPr>
                <w:rStyle w:val="Hyperlink"/>
                <w:sz w:val="20"/>
                <w:szCs w:val="20"/>
              </w:rPr>
            </w:pPr>
            <w:hyperlink r:id="rId12" w:history="1">
              <w:r w:rsidR="00145FF1" w:rsidRPr="00E83D5B">
                <w:rPr>
                  <w:rStyle w:val="Hyperlink"/>
                  <w:sz w:val="20"/>
                  <w:szCs w:val="20"/>
                </w:rPr>
                <w:t>ir@ppcgroup.com</w:t>
              </w:r>
            </w:hyperlink>
          </w:p>
          <w:p w14:paraId="4D142079" w14:textId="77777777" w:rsidR="00145FF1" w:rsidRPr="00E83D5B" w:rsidRDefault="00145FF1" w:rsidP="008E7128">
            <w:pPr>
              <w:pStyle w:val="DehPressRelease"/>
              <w:spacing w:after="0" w:line="240" w:lineRule="auto"/>
              <w:rPr>
                <w:sz w:val="20"/>
                <w:szCs w:val="20"/>
                <w:lang w:val="en-US"/>
              </w:rPr>
            </w:pPr>
          </w:p>
        </w:tc>
        <w:tc>
          <w:tcPr>
            <w:tcW w:w="4318" w:type="dxa"/>
          </w:tcPr>
          <w:p w14:paraId="182E9E0C"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 xml:space="preserve">Media Relations </w:t>
            </w:r>
            <w:r w:rsidRPr="00E83D5B">
              <w:rPr>
                <w:rFonts w:ascii="Ping LCG Regular" w:hAnsi="Ping LCG Regular"/>
                <w:sz w:val="20"/>
                <w:szCs w:val="20"/>
                <w:lang w:val="el-GR"/>
              </w:rPr>
              <w:t>Ομίλου</w:t>
            </w:r>
            <w:r w:rsidRPr="00E83D5B">
              <w:rPr>
                <w:rFonts w:ascii="Ping LCG Regular" w:hAnsi="Ping LCG Regular"/>
                <w:sz w:val="20"/>
                <w:szCs w:val="20"/>
              </w:rPr>
              <w:t xml:space="preserve"> </w:t>
            </w:r>
            <w:r w:rsidRPr="00E83D5B">
              <w:rPr>
                <w:rFonts w:ascii="Ping LCG Regular" w:hAnsi="Ping LCG Regular"/>
                <w:sz w:val="20"/>
                <w:szCs w:val="20"/>
                <w:lang w:val="el-GR"/>
              </w:rPr>
              <w:t>ΔΕΗ</w:t>
            </w:r>
          </w:p>
          <w:p w14:paraId="4F71EEE7"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Χαλκοκονδύλη 32, 104 32 Αθήνα</w:t>
            </w:r>
          </w:p>
          <w:p w14:paraId="60E6E4C4"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Τ:</w:t>
            </w:r>
            <w:r w:rsidRPr="00E83D5B">
              <w:rPr>
                <w:rFonts w:ascii="Ping LCG Regular" w:hAnsi="Ping LCG Regular"/>
                <w:sz w:val="20"/>
                <w:szCs w:val="20"/>
              </w:rPr>
              <w:tab/>
              <w:t xml:space="preserve">+30 210 523 1807, </w:t>
            </w:r>
          </w:p>
          <w:p w14:paraId="14E30CAC"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ab/>
              <w:t>+30 210 529 3404,</w:t>
            </w:r>
          </w:p>
          <w:p w14:paraId="6569D150"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 xml:space="preserve"> </w:t>
            </w:r>
            <w:r w:rsidRPr="00E83D5B">
              <w:rPr>
                <w:rFonts w:ascii="Ping LCG Regular" w:hAnsi="Ping LCG Regular"/>
                <w:sz w:val="20"/>
                <w:szCs w:val="20"/>
              </w:rPr>
              <w:tab/>
              <w:t>+30 697 270 7713</w:t>
            </w:r>
          </w:p>
          <w:p w14:paraId="278FD80F" w14:textId="0AAF4C53" w:rsidR="00145FF1" w:rsidRPr="005A795A" w:rsidRDefault="003D7403" w:rsidP="008E7128">
            <w:pPr>
              <w:tabs>
                <w:tab w:val="left" w:pos="284"/>
              </w:tabs>
              <w:rPr>
                <w:rFonts w:ascii="Ping LCG Regular" w:hAnsi="Ping LCG Regular"/>
                <w:sz w:val="20"/>
                <w:szCs w:val="20"/>
              </w:rPr>
            </w:pPr>
            <w:hyperlink r:id="rId13" w:history="1">
              <w:r w:rsidR="00291CCF" w:rsidRPr="005A795A">
                <w:rPr>
                  <w:rStyle w:val="Hyperlink"/>
                  <w:rFonts w:ascii="Ping LCG Regular" w:hAnsi="Ping LCG Regular"/>
                  <w:sz w:val="20"/>
                  <w:szCs w:val="20"/>
                </w:rPr>
                <w:t>information@ppcgroup.com</w:t>
              </w:r>
            </w:hyperlink>
            <w:r w:rsidR="00291CCF" w:rsidRPr="005A795A">
              <w:rPr>
                <w:rStyle w:val="Hyperlink"/>
                <w:rFonts w:ascii="Ping LCG Regular" w:hAnsi="Ping LCG Regular"/>
                <w:sz w:val="20"/>
                <w:szCs w:val="20"/>
              </w:rPr>
              <w:t xml:space="preserve"> </w:t>
            </w:r>
          </w:p>
          <w:p w14:paraId="546083CD" w14:textId="49594BC1" w:rsidR="00145FF1" w:rsidRPr="00E83D5B" w:rsidRDefault="00472C4F" w:rsidP="008E7128">
            <w:pPr>
              <w:tabs>
                <w:tab w:val="left" w:pos="284"/>
              </w:tabs>
              <w:rPr>
                <w:rFonts w:ascii="Ping LCG Regular" w:hAnsi="Ping LCG Regular"/>
                <w:sz w:val="20"/>
                <w:szCs w:val="20"/>
              </w:rPr>
            </w:pPr>
            <w:r>
              <w:rPr>
                <w:rFonts w:ascii="Ping LCG Regular" w:hAnsi="Ping LCG Regular"/>
                <w:sz w:val="20"/>
                <w:szCs w:val="20"/>
              </w:rPr>
              <w:t xml:space="preserve">   </w:t>
            </w:r>
            <w:r w:rsidR="00145FF1" w:rsidRPr="00E83D5B">
              <w:rPr>
                <w:rFonts w:ascii="Ping LCG Regular" w:hAnsi="Ping LCG Regular"/>
                <w:sz w:val="20"/>
                <w:szCs w:val="20"/>
              </w:rPr>
              <w:t xml:space="preserve"> </w:t>
            </w:r>
            <w:r>
              <w:rPr>
                <w:rFonts w:ascii="Ping LCG Regular" w:hAnsi="Ping LCG Regular"/>
                <w:sz w:val="20"/>
                <w:szCs w:val="20"/>
              </w:rPr>
              <w:t xml:space="preserve"> </w:t>
            </w:r>
          </w:p>
        </w:tc>
      </w:tr>
    </w:tbl>
    <w:p w14:paraId="2F9DCDA8" w14:textId="77777777" w:rsidR="00145FF1" w:rsidRPr="00E83D5B" w:rsidRDefault="00145FF1" w:rsidP="00145FF1">
      <w:pPr>
        <w:pStyle w:val="DehPressRelease"/>
        <w:spacing w:after="0" w:line="240" w:lineRule="auto"/>
        <w:jc w:val="both"/>
        <w:rPr>
          <w:b/>
          <w:bCs/>
          <w:sz w:val="20"/>
          <w:szCs w:val="20"/>
          <w:lang w:val="en-US"/>
        </w:rPr>
      </w:pPr>
    </w:p>
    <w:p w14:paraId="53E77D8C" w14:textId="6A95DC15" w:rsidR="00145FF1" w:rsidRPr="00E83D5B" w:rsidRDefault="00145FF1" w:rsidP="00145FF1">
      <w:pPr>
        <w:jc w:val="both"/>
        <w:rPr>
          <w:rFonts w:ascii="Ping LCG Regular" w:hAnsi="Ping LCG Regular"/>
          <w:sz w:val="20"/>
          <w:szCs w:val="20"/>
          <w:lang w:val="el-GR"/>
        </w:rPr>
      </w:pPr>
      <w:r w:rsidRPr="00E83D5B">
        <w:rPr>
          <w:rFonts w:ascii="Ping LCG Regular" w:hAnsi="Ping LCG Regular"/>
          <w:sz w:val="20"/>
          <w:szCs w:val="20"/>
          <w:lang w:val="el-GR"/>
        </w:rPr>
        <w:t>Το Δελτίο Τύπου είναι διαθέσιμο στον διαδικτυακό τόπο της ΔΕΗ Α.Ε (</w:t>
      </w:r>
      <w:r w:rsidRPr="00E83D5B">
        <w:rPr>
          <w:rFonts w:ascii="Ping LCG Regular" w:hAnsi="Ping LCG Regular"/>
          <w:sz w:val="20"/>
          <w:szCs w:val="20"/>
        </w:rPr>
        <w:t>ppcgroup</w:t>
      </w:r>
      <w:r w:rsidRPr="00E83D5B">
        <w:rPr>
          <w:rFonts w:ascii="Ping LCG Regular" w:hAnsi="Ping LCG Regular"/>
          <w:sz w:val="20"/>
          <w:szCs w:val="20"/>
          <w:lang w:val="el-GR"/>
        </w:rPr>
        <w:t>.</w:t>
      </w:r>
      <w:r w:rsidRPr="00E83D5B">
        <w:rPr>
          <w:rFonts w:ascii="Ping LCG Regular" w:hAnsi="Ping LCG Regular"/>
          <w:sz w:val="20"/>
          <w:szCs w:val="20"/>
        </w:rPr>
        <w:t>com</w:t>
      </w:r>
      <w:r w:rsidRPr="00E83D5B">
        <w:rPr>
          <w:rFonts w:ascii="Ping LCG Regular" w:hAnsi="Ping LCG Regular"/>
          <w:sz w:val="20"/>
          <w:szCs w:val="20"/>
          <w:lang w:val="el-GR"/>
        </w:rPr>
        <w:t>) στην ενότητα “Επενδυτικές Σχέσεις”.</w:t>
      </w:r>
    </w:p>
    <w:p w14:paraId="72C843B1" w14:textId="77777777" w:rsidR="00145FF1" w:rsidRPr="00DE2285" w:rsidRDefault="00145FF1" w:rsidP="00145FF1">
      <w:pPr>
        <w:jc w:val="both"/>
        <w:rPr>
          <w:rFonts w:ascii="Ping LCG Regular" w:hAnsi="Ping LCG Regular"/>
          <w:sz w:val="20"/>
          <w:szCs w:val="20"/>
          <w:highlight w:val="yellow"/>
          <w:lang w:val="el-GR"/>
        </w:rPr>
      </w:pPr>
    </w:p>
    <w:p w14:paraId="07D9C35B" w14:textId="77777777" w:rsidR="00145FF1" w:rsidRPr="00DE2285" w:rsidRDefault="00145FF1" w:rsidP="00145FF1">
      <w:pPr>
        <w:jc w:val="both"/>
        <w:rPr>
          <w:rFonts w:ascii="Ping LCG Regular" w:hAnsi="Ping LCG Regular"/>
          <w:sz w:val="22"/>
          <w:szCs w:val="22"/>
          <w:highlight w:val="yellow"/>
          <w:lang w:val="el-GR"/>
        </w:rPr>
      </w:pPr>
    </w:p>
    <w:p w14:paraId="48283CD2" w14:textId="3E794713" w:rsidR="00145FF1" w:rsidRPr="00DE2285" w:rsidRDefault="00145FF1" w:rsidP="00145FF1">
      <w:pPr>
        <w:rPr>
          <w:rFonts w:ascii="Ping LCG Regular" w:hAnsi="Ping LCG Regular"/>
          <w:b/>
          <w:bCs/>
          <w:sz w:val="20"/>
          <w:szCs w:val="20"/>
          <w:highlight w:val="yellow"/>
          <w:lang w:val="el-GR"/>
        </w:rPr>
      </w:pPr>
    </w:p>
    <w:p w14:paraId="4AB2180F" w14:textId="77777777" w:rsidR="00145FF1" w:rsidRPr="00CC1B63" w:rsidRDefault="00145FF1" w:rsidP="00145FF1">
      <w:pPr>
        <w:spacing w:after="200" w:line="276" w:lineRule="auto"/>
        <w:jc w:val="both"/>
        <w:rPr>
          <w:rFonts w:ascii="Ping LCG Regular" w:hAnsi="Ping LCG Regular"/>
          <w:b/>
          <w:bCs/>
          <w:sz w:val="20"/>
          <w:szCs w:val="20"/>
          <w:lang w:val="el-GR"/>
        </w:rPr>
      </w:pPr>
      <w:r w:rsidRPr="00CC1B63">
        <w:rPr>
          <w:rFonts w:ascii="Ping LCG Regular" w:hAnsi="Ping LCG Regular"/>
          <w:b/>
          <w:bCs/>
          <w:sz w:val="20"/>
          <w:szCs w:val="20"/>
          <w:lang w:val="el-GR"/>
        </w:rPr>
        <w:t>Σχετικά με τη Δημόσια Επιχείρηση Ηλεκτρισμού Α.Ε.</w:t>
      </w:r>
    </w:p>
    <w:p w14:paraId="2D51D423" w14:textId="77777777"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 xml:space="preserve">Η ΔΕΗ είναι η κορυφαία εταιρεία ενέργειας στην Νοτιοανατολική Ευρώπη, με δραστηριότητες στην παραγωγή, διανομή και  πώληση προηγμένων προϊόντων και υπηρεσιών ενέργειας στην Ελλάδα, την Ρουμανία και την Βόρεια Μακεδονία. </w:t>
      </w:r>
    </w:p>
    <w:p w14:paraId="374410A4" w14:textId="73AF5AA8"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Το παραγωγικό δυναμικό της ΔΕΗ ανέρχεται σε 10,</w:t>
      </w:r>
      <w:r w:rsidR="000B7B06">
        <w:rPr>
          <w:rFonts w:ascii="Ping LCG Regular" w:hAnsi="Ping LCG Regular"/>
          <w:sz w:val="20"/>
          <w:szCs w:val="20"/>
          <w:lang w:val="el-GR"/>
        </w:rPr>
        <w:t>8</w:t>
      </w:r>
      <w:r w:rsidRPr="00CC1B63">
        <w:rPr>
          <w:rFonts w:ascii="Ping LCG Regular" w:hAnsi="Ping LCG Regular"/>
          <w:sz w:val="20"/>
          <w:szCs w:val="20"/>
          <w:lang w:val="el-GR"/>
        </w:rPr>
        <w:t xml:space="preserve">GW, με θερμικούς, υδροηλεκτρικούς σταθμούς και εγκαταστάσεις Ανανεώσιμων Πηγών Ενέργειας με συνολική ετήσια παραγωγή ενέργειας </w:t>
      </w:r>
      <w:r w:rsidR="00971F31">
        <w:rPr>
          <w:rFonts w:ascii="Ping LCG Regular" w:hAnsi="Ping LCG Regular"/>
          <w:sz w:val="20"/>
          <w:szCs w:val="20"/>
          <w:lang w:val="el-GR"/>
        </w:rPr>
        <w:t>περίπου</w:t>
      </w:r>
      <w:r w:rsidRPr="00CC1B63">
        <w:rPr>
          <w:rFonts w:ascii="Ping LCG Regular" w:hAnsi="Ping LCG Regular"/>
          <w:sz w:val="20"/>
          <w:szCs w:val="20"/>
          <w:lang w:val="el-GR"/>
        </w:rPr>
        <w:t xml:space="preserve"> 20TWh, ενώ η συνολική Ρυθμιζόμενη Περιουσιακή Βάση  στα δίκτυα διανομής, ανέρχεται σε περίπου €4,3 δισ. </w:t>
      </w:r>
    </w:p>
    <w:p w14:paraId="493F39D2" w14:textId="21C6F50E"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Ο Όμιλος ΔΕΗ αποτελεί τον  μεγαλύτερο προμηθευτή ηλεκτρικής ενέργειας στην Ελλάδα και τη Ρουμανία, εξυπηρετώντας 8,</w:t>
      </w:r>
      <w:r w:rsidR="00971F31">
        <w:rPr>
          <w:rFonts w:ascii="Ping LCG Regular" w:hAnsi="Ping LCG Regular"/>
          <w:sz w:val="20"/>
          <w:szCs w:val="20"/>
          <w:lang w:val="el-GR"/>
        </w:rPr>
        <w:t>8</w:t>
      </w:r>
      <w:r w:rsidRPr="00CC1B63">
        <w:rPr>
          <w:rFonts w:ascii="Ping LCG Regular" w:hAnsi="Ping LCG Regular"/>
          <w:sz w:val="20"/>
          <w:szCs w:val="20"/>
          <w:lang w:val="el-GR"/>
        </w:rPr>
        <w:t xml:space="preserve"> εκατ. πελάτες στους οποίους παρέχει περίπου 3</w:t>
      </w:r>
      <w:r w:rsidR="00971F31">
        <w:rPr>
          <w:rFonts w:ascii="Ping LCG Regular" w:hAnsi="Ping LCG Regular"/>
          <w:sz w:val="20"/>
          <w:szCs w:val="20"/>
          <w:lang w:val="el-GR"/>
        </w:rPr>
        <w:t>3</w:t>
      </w:r>
      <w:r w:rsidRPr="00CC1B63">
        <w:rPr>
          <w:rFonts w:ascii="Ping LCG Regular" w:hAnsi="Ping LCG Regular"/>
          <w:sz w:val="20"/>
          <w:szCs w:val="20"/>
          <w:lang w:val="el-GR"/>
        </w:rPr>
        <w:t>TWh</w:t>
      </w:r>
      <w:r w:rsidRPr="00CC1B63">
        <w:rPr>
          <w:rFonts w:ascii="Ping LCG Regular" w:hAnsi="Ping LCG Regular"/>
          <w:color w:val="FF0000"/>
          <w:sz w:val="20"/>
          <w:szCs w:val="20"/>
          <w:lang w:val="el-GR"/>
        </w:rPr>
        <w:t xml:space="preserve"> </w:t>
      </w:r>
      <w:r w:rsidRPr="00CC1B63">
        <w:rPr>
          <w:rFonts w:ascii="Ping LCG Regular" w:hAnsi="Ping LCG Regular"/>
          <w:sz w:val="20"/>
          <w:szCs w:val="20"/>
          <w:lang w:val="el-GR"/>
        </w:rPr>
        <w:t xml:space="preserve">ενέργειας και μία ευρεία σειρά ενεργειακών προϊόντων και υπηρεσιών. </w:t>
      </w:r>
    </w:p>
    <w:p w14:paraId="199A09C1" w14:textId="77777777"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Η ΔΕΗ ιδρύθηκε το 1950 και είναι εισηγμένη στο Χρηματιστήριο Αθηνών από το 2001.</w:t>
      </w:r>
    </w:p>
    <w:p w14:paraId="4574EA22" w14:textId="77777777" w:rsidR="00145FF1" w:rsidRPr="00DE2285" w:rsidRDefault="00145FF1" w:rsidP="00145FF1">
      <w:pPr>
        <w:jc w:val="both"/>
        <w:rPr>
          <w:rFonts w:ascii="Ping LCG Regular" w:hAnsi="Ping LCG Regular"/>
          <w:sz w:val="22"/>
          <w:szCs w:val="22"/>
          <w:highlight w:val="yellow"/>
          <w:lang w:val="el-GR"/>
        </w:rPr>
      </w:pPr>
    </w:p>
    <w:p w14:paraId="3146FCF5" w14:textId="77777777" w:rsidR="00145FF1" w:rsidRPr="001B497A" w:rsidRDefault="00145FF1" w:rsidP="00145FF1">
      <w:pPr>
        <w:jc w:val="both"/>
        <w:rPr>
          <w:rFonts w:ascii="Ping LCG Regular" w:hAnsi="Ping LCG Regular"/>
          <w:sz w:val="22"/>
          <w:szCs w:val="22"/>
          <w:lang w:val="el-GR"/>
        </w:rPr>
      </w:pPr>
    </w:p>
    <w:p w14:paraId="253843F0" w14:textId="77777777" w:rsidR="00633C98" w:rsidRDefault="00633C98">
      <w:pPr>
        <w:rPr>
          <w:rFonts w:ascii="Ping LCG Regular" w:hAnsi="Ping LCG Regular"/>
          <w:b/>
          <w:bCs/>
          <w:sz w:val="18"/>
          <w:szCs w:val="18"/>
          <w:lang w:val="el-GR"/>
        </w:rPr>
      </w:pPr>
      <w:r>
        <w:rPr>
          <w:rFonts w:ascii="Ping LCG Regular" w:hAnsi="Ping LCG Regular"/>
          <w:b/>
          <w:bCs/>
          <w:sz w:val="18"/>
          <w:szCs w:val="18"/>
          <w:lang w:val="el-GR"/>
        </w:rPr>
        <w:br w:type="page"/>
      </w:r>
    </w:p>
    <w:p w14:paraId="0B631E58" w14:textId="36FD0F14" w:rsidR="00145FF1" w:rsidRPr="001B497A" w:rsidRDefault="00145FF1" w:rsidP="00145FF1">
      <w:pPr>
        <w:jc w:val="both"/>
        <w:rPr>
          <w:rFonts w:ascii="Ping LCG Regular" w:hAnsi="Ping LCG Regular"/>
          <w:b/>
          <w:bCs/>
          <w:sz w:val="18"/>
          <w:szCs w:val="18"/>
          <w:lang w:val="el-GR"/>
        </w:rPr>
      </w:pPr>
      <w:r w:rsidRPr="001B497A">
        <w:rPr>
          <w:rFonts w:ascii="Ping LCG Regular" w:hAnsi="Ping LCG Regular"/>
          <w:b/>
          <w:bCs/>
          <w:sz w:val="18"/>
          <w:szCs w:val="18"/>
          <w:lang w:val="el-GR"/>
        </w:rPr>
        <w:lastRenderedPageBreak/>
        <w:t>Δήλωση αποποίησης ευθύνης</w:t>
      </w:r>
    </w:p>
    <w:p w14:paraId="748FD98D" w14:textId="77777777"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w:t>
      </w:r>
    </w:p>
    <w:p w14:paraId="4D99F048" w14:textId="77777777" w:rsidR="00145FF1" w:rsidRPr="001B497A" w:rsidRDefault="00145FF1" w:rsidP="00145FF1">
      <w:pPr>
        <w:jc w:val="both"/>
        <w:rPr>
          <w:rFonts w:ascii="Ping LCG Regular" w:hAnsi="Ping LCG Regular"/>
          <w:sz w:val="18"/>
          <w:szCs w:val="18"/>
          <w:lang w:val="el-GR"/>
        </w:rPr>
      </w:pPr>
    </w:p>
    <w:p w14:paraId="25A3CFF3" w14:textId="5B51AD5A"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ii) στις μακροοικονομικές συνθήκες, iii) στη </w:t>
      </w:r>
      <w:r w:rsidRPr="001B497A">
        <w:rPr>
          <w:rFonts w:ascii="Ping LCG Regular" w:hAnsi="Ping LCG Regular"/>
          <w:color w:val="000000" w:themeColor="text1"/>
          <w:sz w:val="18"/>
          <w:szCs w:val="18"/>
          <w:lang w:val="el-GR"/>
        </w:rPr>
        <w:t xml:space="preserve">διακύμανση του ευρώ </w:t>
      </w:r>
      <w:r w:rsidR="00F51E69" w:rsidRPr="001B497A">
        <w:rPr>
          <w:rFonts w:ascii="Ping LCG Regular" w:hAnsi="Ping LCG Regular"/>
          <w:color w:val="000000" w:themeColor="text1"/>
          <w:sz w:val="18"/>
          <w:szCs w:val="18"/>
          <w:lang w:val="el-GR"/>
        </w:rPr>
        <w:t xml:space="preserve">και του </w:t>
      </w:r>
      <w:r w:rsidR="00F51E69" w:rsidRPr="001B497A">
        <w:rPr>
          <w:rFonts w:ascii="Ping LCG Regular" w:hAnsi="Ping LCG Regular"/>
          <w:color w:val="000000" w:themeColor="text1"/>
          <w:sz w:val="18"/>
          <w:szCs w:val="18"/>
        </w:rPr>
        <w:t>LEU</w:t>
      </w:r>
      <w:r w:rsidR="00F51E69" w:rsidRPr="001B497A">
        <w:rPr>
          <w:rFonts w:ascii="Ping LCG Regular" w:hAnsi="Ping LCG Regular"/>
          <w:color w:val="000000" w:themeColor="text1"/>
          <w:sz w:val="18"/>
          <w:szCs w:val="18"/>
          <w:lang w:val="el-GR"/>
        </w:rPr>
        <w:t xml:space="preserve"> Ρουμανίας </w:t>
      </w:r>
      <w:r w:rsidRPr="001B497A">
        <w:rPr>
          <w:rFonts w:ascii="Ping LCG Regular" w:hAnsi="Ping LCG Regular"/>
          <w:color w:val="000000" w:themeColor="text1"/>
          <w:sz w:val="18"/>
          <w:szCs w:val="18"/>
          <w:lang w:val="el-GR"/>
        </w:rPr>
        <w:t>έναντι των συναλλαγματικών ισοτιμιών του δολαρίου ΗΠΑ, iv) στις τιμές πετρελαίου</w:t>
      </w:r>
      <w:r w:rsidRPr="001B497A">
        <w:rPr>
          <w:rFonts w:ascii="Ping LCG Regular" w:hAnsi="Ping LCG Regular"/>
          <w:sz w:val="18"/>
          <w:szCs w:val="18"/>
          <w:lang w:val="el-GR"/>
        </w:rPr>
        <w:t>, φυσικού αερίου και ηλεκτρικής ενέργειας και στην τιμή των δικαιωμάτων εκπομπών CO</w:t>
      </w:r>
      <w:r w:rsidRPr="001B497A">
        <w:rPr>
          <w:rFonts w:ascii="Ping LCG Regular" w:hAnsi="Ping LCG Regular"/>
          <w:sz w:val="18"/>
          <w:szCs w:val="18"/>
          <w:vertAlign w:val="subscript"/>
          <w:lang w:val="el-GR"/>
        </w:rPr>
        <w:t>2</w:t>
      </w:r>
      <w:r w:rsidRPr="001B497A">
        <w:rPr>
          <w:rFonts w:ascii="Ping LCG Regular" w:hAnsi="Ping LCG Regular"/>
          <w:sz w:val="18"/>
          <w:szCs w:val="18"/>
          <w:lang w:val="el-GR"/>
        </w:rPr>
        <w:t xml:space="preserve">, v) στις αλλαγές του τοπίου της αγοράς και του νομικού, κανονιστικού, φορολογικού και δημοσιονομικού τοπίου, vi) στην εξέλιξη του επισφαλούς χρέους, και vii)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ανακοίνωση. Ως εκ τούτου, δεν θα πρέπει να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186D764B" w14:textId="77777777" w:rsidR="00145FF1" w:rsidRPr="001B497A" w:rsidRDefault="00145FF1" w:rsidP="00145FF1">
      <w:pPr>
        <w:jc w:val="both"/>
        <w:rPr>
          <w:rFonts w:ascii="Ping LCG Regular" w:hAnsi="Ping LCG Regular"/>
          <w:sz w:val="18"/>
          <w:szCs w:val="18"/>
          <w:lang w:val="el-GR"/>
        </w:rPr>
      </w:pPr>
    </w:p>
    <w:p w14:paraId="3A5FECFE" w14:textId="77777777"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p>
    <w:p w14:paraId="0D13ACA2" w14:textId="77777777" w:rsidR="00145FF1" w:rsidRPr="001B497A" w:rsidRDefault="00145FF1" w:rsidP="00145FF1">
      <w:pPr>
        <w:jc w:val="both"/>
        <w:rPr>
          <w:rFonts w:ascii="Ping LCG Regular" w:hAnsi="Ping LCG Regular"/>
          <w:color w:val="FF0000"/>
          <w:sz w:val="20"/>
          <w:szCs w:val="20"/>
          <w:lang w:val="el-GR"/>
        </w:rPr>
      </w:pPr>
    </w:p>
    <w:p w14:paraId="46D28CF5" w14:textId="77777777" w:rsidR="00145FF1" w:rsidRPr="001B497A" w:rsidRDefault="00145FF1" w:rsidP="00145FF1">
      <w:pPr>
        <w:rPr>
          <w:rFonts w:ascii="Ping LCG Regular" w:hAnsi="Ping LCG Regular"/>
          <w:b/>
          <w:bCs/>
          <w:color w:val="FF0000"/>
          <w:sz w:val="20"/>
          <w:szCs w:val="20"/>
          <w:lang w:val="el-GR"/>
        </w:rPr>
      </w:pPr>
      <w:r w:rsidRPr="001B497A">
        <w:rPr>
          <w:rFonts w:ascii="Ping LCG Regular" w:hAnsi="Ping LCG Regular"/>
          <w:b/>
          <w:bCs/>
          <w:color w:val="FF0000"/>
          <w:sz w:val="20"/>
          <w:szCs w:val="20"/>
          <w:lang w:val="el-GR"/>
        </w:rPr>
        <w:br w:type="page"/>
      </w:r>
    </w:p>
    <w:p w14:paraId="16765F22" w14:textId="67B8BAB9" w:rsidR="00145FF1" w:rsidRPr="001B497A" w:rsidRDefault="00145FF1" w:rsidP="00145FF1">
      <w:pPr>
        <w:jc w:val="both"/>
        <w:rPr>
          <w:rFonts w:ascii="Ping LCG Regular" w:hAnsi="Ping LCG Regular"/>
          <w:b/>
          <w:bCs/>
          <w:sz w:val="20"/>
          <w:szCs w:val="20"/>
          <w:lang w:val="el-GR"/>
        </w:rPr>
      </w:pPr>
      <w:r w:rsidRPr="001B497A">
        <w:rPr>
          <w:rFonts w:ascii="Ping LCG Regular" w:hAnsi="Ping LCG Regular"/>
          <w:b/>
          <w:bCs/>
          <w:sz w:val="20"/>
          <w:szCs w:val="20"/>
          <w:lang w:val="el-GR"/>
        </w:rPr>
        <w:lastRenderedPageBreak/>
        <w:t xml:space="preserve">ΠΑΡΑΡΤΗΜΑ </w:t>
      </w:r>
      <w:r w:rsidR="00EE236D">
        <w:rPr>
          <w:rFonts w:ascii="Ping LCG Regular" w:hAnsi="Ping LCG Regular"/>
          <w:b/>
          <w:bCs/>
          <w:sz w:val="20"/>
          <w:szCs w:val="20"/>
        </w:rPr>
        <w:t>I</w:t>
      </w:r>
      <w:r w:rsidR="00EE236D" w:rsidRPr="00EE236D">
        <w:rPr>
          <w:rFonts w:ascii="Ping LCG Regular" w:hAnsi="Ping LCG Regular"/>
          <w:b/>
          <w:bCs/>
          <w:sz w:val="20"/>
          <w:szCs w:val="20"/>
          <w:lang w:val="el-GR"/>
        </w:rPr>
        <w:t xml:space="preserve"> </w:t>
      </w:r>
      <w:r w:rsidRPr="001B497A">
        <w:rPr>
          <w:rFonts w:ascii="Ping LCG Regular" w:hAnsi="Ping LCG Regular"/>
          <w:b/>
          <w:bCs/>
          <w:sz w:val="20"/>
          <w:szCs w:val="20"/>
          <w:lang w:val="el-GR"/>
        </w:rPr>
        <w:t>– ΣΥΝΟΠΤΙΚΕΣ ΕΝΟΠΟΙΗΜΕΝΕΣ ΟΙΚΟΝΟΜΙΚΕΣ ΚΑΤΑΣΤΑΣΕΙΣ</w:t>
      </w:r>
    </w:p>
    <w:p w14:paraId="562C63CE" w14:textId="77777777" w:rsidR="00145FF1" w:rsidRPr="001B497A" w:rsidRDefault="00145FF1" w:rsidP="00145FF1">
      <w:pPr>
        <w:jc w:val="both"/>
        <w:rPr>
          <w:rFonts w:ascii="Ping LCG Regular" w:hAnsi="Ping LCG Regular"/>
          <w:b/>
          <w:bCs/>
          <w:sz w:val="20"/>
          <w:szCs w:val="20"/>
          <w:lang w:val="el-GR"/>
        </w:rPr>
      </w:pPr>
    </w:p>
    <w:p w14:paraId="7FFDC879" w14:textId="77777777" w:rsidR="00145FF1" w:rsidRPr="001B497A" w:rsidRDefault="00145FF1" w:rsidP="00145FF1">
      <w:pPr>
        <w:jc w:val="both"/>
        <w:rPr>
          <w:rFonts w:ascii="Ping LCG Regular" w:hAnsi="Ping LCG Regular"/>
          <w:b/>
          <w:sz w:val="20"/>
          <w:szCs w:val="20"/>
          <w:lang w:val="el-GR"/>
        </w:rPr>
      </w:pPr>
      <w:r w:rsidRPr="001B497A">
        <w:rPr>
          <w:rFonts w:ascii="Ping LCG Regular" w:hAnsi="Ping LCG Regular"/>
          <w:b/>
          <w:sz w:val="20"/>
          <w:szCs w:val="20"/>
          <w:lang w:val="el-GR"/>
        </w:rPr>
        <w:t xml:space="preserve">Ενοποιημένη Κατάσταση  Χρηματοοικονομικής Θέσης (Συνοπτική) </w:t>
      </w:r>
    </w:p>
    <w:p w14:paraId="4600C6B6" w14:textId="77777777" w:rsidR="00145FF1" w:rsidRDefault="00145FF1" w:rsidP="00145FF1">
      <w:pPr>
        <w:jc w:val="both"/>
        <w:rPr>
          <w:rFonts w:ascii="Ping LCG Regular" w:hAnsi="Ping LCG Regular"/>
          <w:b/>
          <w:sz w:val="20"/>
          <w:szCs w:val="20"/>
          <w:lang w:val="el-GR"/>
        </w:rPr>
      </w:pPr>
    </w:p>
    <w:p w14:paraId="62EF40A2" w14:textId="54339634" w:rsidR="001B497A" w:rsidRDefault="00716D59">
      <w:pPr>
        <w:rPr>
          <w:rFonts w:ascii="Ping LCG Regular" w:hAnsi="Ping LCG Regular"/>
          <w:b/>
          <w:sz w:val="20"/>
          <w:szCs w:val="20"/>
          <w:lang w:val="el-GR"/>
        </w:rPr>
      </w:pPr>
      <w:r w:rsidRPr="00716D59">
        <w:rPr>
          <w:noProof/>
        </w:rPr>
        <w:drawing>
          <wp:inline distT="0" distB="0" distL="0" distR="0" wp14:anchorId="35E07B39" wp14:editId="45F9E554">
            <wp:extent cx="5490210" cy="4885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210" cy="4885690"/>
                    </a:xfrm>
                    <a:prstGeom prst="rect">
                      <a:avLst/>
                    </a:prstGeom>
                    <a:noFill/>
                    <a:ln>
                      <a:noFill/>
                    </a:ln>
                  </pic:spPr>
                </pic:pic>
              </a:graphicData>
            </a:graphic>
          </wp:inline>
        </w:drawing>
      </w:r>
      <w:r w:rsidR="001B497A">
        <w:rPr>
          <w:rFonts w:ascii="Ping LCG Regular" w:hAnsi="Ping LCG Regular"/>
          <w:b/>
          <w:sz w:val="20"/>
          <w:szCs w:val="20"/>
          <w:lang w:val="el-GR"/>
        </w:rPr>
        <w:br w:type="page"/>
      </w:r>
    </w:p>
    <w:p w14:paraId="24F4DAD8" w14:textId="403C4351" w:rsidR="00145FF1" w:rsidRPr="001B497A" w:rsidRDefault="00145FF1" w:rsidP="00145FF1">
      <w:pPr>
        <w:jc w:val="both"/>
        <w:rPr>
          <w:rFonts w:ascii="Ping LCG Regular" w:hAnsi="Ping LCG Regular"/>
          <w:b/>
          <w:sz w:val="20"/>
          <w:szCs w:val="20"/>
          <w:lang w:val="el-GR"/>
        </w:rPr>
      </w:pPr>
      <w:r w:rsidRPr="001B497A">
        <w:rPr>
          <w:rFonts w:ascii="Ping LCG Regular" w:hAnsi="Ping LCG Regular"/>
          <w:b/>
          <w:sz w:val="20"/>
          <w:szCs w:val="20"/>
          <w:lang w:val="el-GR"/>
        </w:rPr>
        <w:lastRenderedPageBreak/>
        <w:t>Ενοποιημένη Κατάσταση Αποτελεσμάτων (Συνοπτική)</w:t>
      </w:r>
    </w:p>
    <w:p w14:paraId="5A5B1EB4" w14:textId="5893507D" w:rsidR="00F927AB" w:rsidRDefault="00F927AB">
      <w:pPr>
        <w:rPr>
          <w:rFonts w:ascii="Ping LCG Regular" w:hAnsi="Ping LCG Regular"/>
          <w:b/>
          <w:sz w:val="20"/>
          <w:szCs w:val="20"/>
          <w:lang w:val="el-GR"/>
        </w:rPr>
      </w:pPr>
    </w:p>
    <w:p w14:paraId="558D9F41" w14:textId="704E7D57" w:rsidR="001B497A" w:rsidRDefault="006F5D4E">
      <w:pPr>
        <w:rPr>
          <w:rFonts w:ascii="Ping LCG Regular" w:hAnsi="Ping LCG Regular"/>
          <w:b/>
          <w:sz w:val="20"/>
          <w:szCs w:val="20"/>
          <w:lang w:val="el-GR"/>
        </w:rPr>
      </w:pPr>
      <w:r w:rsidRPr="006F5D4E">
        <w:rPr>
          <w:noProof/>
        </w:rPr>
        <w:drawing>
          <wp:inline distT="0" distB="0" distL="0" distR="0" wp14:anchorId="736CF1CD" wp14:editId="13C251A7">
            <wp:extent cx="5490210" cy="439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210" cy="4390390"/>
                    </a:xfrm>
                    <a:prstGeom prst="rect">
                      <a:avLst/>
                    </a:prstGeom>
                    <a:noFill/>
                    <a:ln>
                      <a:noFill/>
                    </a:ln>
                  </pic:spPr>
                </pic:pic>
              </a:graphicData>
            </a:graphic>
          </wp:inline>
        </w:drawing>
      </w:r>
      <w:r w:rsidR="00A61C17" w:rsidRPr="003F5062">
        <w:rPr>
          <w:lang w:val="el-GR"/>
        </w:rPr>
        <w:t xml:space="preserve"> </w:t>
      </w:r>
      <w:r w:rsidR="001B497A">
        <w:rPr>
          <w:rFonts w:ascii="Ping LCG Regular" w:hAnsi="Ping LCG Regular"/>
          <w:b/>
          <w:sz w:val="20"/>
          <w:szCs w:val="20"/>
          <w:lang w:val="el-GR"/>
        </w:rPr>
        <w:br w:type="page"/>
      </w:r>
    </w:p>
    <w:p w14:paraId="599307D3" w14:textId="375F13F6" w:rsidR="00145FF1" w:rsidRPr="001B497A" w:rsidRDefault="00145FF1" w:rsidP="00145FF1">
      <w:pPr>
        <w:jc w:val="both"/>
        <w:rPr>
          <w:rFonts w:ascii="Ping LCG Regular" w:hAnsi="Ping LCG Regular"/>
          <w:b/>
          <w:sz w:val="20"/>
          <w:szCs w:val="20"/>
          <w:lang w:val="el-GR"/>
        </w:rPr>
      </w:pPr>
      <w:r w:rsidRPr="006B5DCA">
        <w:rPr>
          <w:rFonts w:ascii="Ping LCG Regular" w:hAnsi="Ping LCG Regular"/>
          <w:b/>
          <w:sz w:val="20"/>
          <w:szCs w:val="20"/>
          <w:lang w:val="el-GR"/>
        </w:rPr>
        <w:lastRenderedPageBreak/>
        <w:t>Ενοποιημένη κατάσταση ταμιακών ροών (Συνοπτική)</w:t>
      </w:r>
    </w:p>
    <w:p w14:paraId="11FA0142" w14:textId="3F4F7CFC" w:rsidR="000E7FCF" w:rsidRPr="00704014" w:rsidRDefault="000E7FCF">
      <w:pPr>
        <w:rPr>
          <w:rFonts w:ascii="Ping LCG Regular" w:eastAsia="Calibri" w:hAnsi="Ping LCG Regular" w:cs="Arial"/>
          <w:b/>
          <w:color w:val="000000"/>
          <w:sz w:val="20"/>
          <w:szCs w:val="20"/>
          <w:lang w:val="el-GR"/>
        </w:rPr>
      </w:pPr>
    </w:p>
    <w:p w14:paraId="73AC901E" w14:textId="35333663" w:rsidR="001B497A" w:rsidRPr="002B1E22" w:rsidRDefault="00885BB9">
      <w:pPr>
        <w:rPr>
          <w:rFonts w:ascii="Ping LCG Regular" w:eastAsia="Calibri" w:hAnsi="Ping LCG Regular" w:cs="Arial"/>
          <w:b/>
          <w:color w:val="000000"/>
          <w:sz w:val="20"/>
          <w:szCs w:val="20"/>
          <w:lang w:val="el-GR"/>
        </w:rPr>
      </w:pPr>
      <w:r w:rsidRPr="00885BB9">
        <w:rPr>
          <w:noProof/>
        </w:rPr>
        <w:drawing>
          <wp:inline distT="0" distB="0" distL="0" distR="0" wp14:anchorId="5357E822" wp14:editId="696A7C66">
            <wp:extent cx="5490210" cy="5915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0210" cy="5915660"/>
                    </a:xfrm>
                    <a:prstGeom prst="rect">
                      <a:avLst/>
                    </a:prstGeom>
                    <a:noFill/>
                    <a:ln>
                      <a:noFill/>
                    </a:ln>
                  </pic:spPr>
                </pic:pic>
              </a:graphicData>
            </a:graphic>
          </wp:inline>
        </w:drawing>
      </w:r>
      <w:r w:rsidRPr="002B1E22">
        <w:rPr>
          <w:lang w:val="el-GR"/>
        </w:rPr>
        <w:t xml:space="preserve"> </w:t>
      </w:r>
      <w:r w:rsidR="001B497A" w:rsidRPr="002B1E22">
        <w:rPr>
          <w:rFonts w:ascii="Ping LCG Regular" w:eastAsia="Calibri" w:hAnsi="Ping LCG Regular" w:cs="Arial"/>
          <w:b/>
          <w:color w:val="000000"/>
          <w:sz w:val="20"/>
          <w:szCs w:val="20"/>
          <w:lang w:val="el-GR"/>
        </w:rPr>
        <w:br w:type="page"/>
      </w:r>
    </w:p>
    <w:p w14:paraId="0B331C6C" w14:textId="03632DC7" w:rsidR="00610A5A" w:rsidRPr="00453CBA" w:rsidRDefault="00610A5A" w:rsidP="00610A5A">
      <w:pPr>
        <w:autoSpaceDE w:val="0"/>
        <w:autoSpaceDN w:val="0"/>
        <w:adjustRightInd w:val="0"/>
        <w:rPr>
          <w:rFonts w:ascii="Ping LCG Regular" w:hAnsi="Ping LCG Regular" w:cs="Calibri Light"/>
          <w:b/>
          <w:color w:val="000000"/>
          <w:sz w:val="20"/>
          <w:szCs w:val="20"/>
          <w:lang w:val="el-GR"/>
        </w:rPr>
      </w:pPr>
      <w:r w:rsidRPr="00704014">
        <w:rPr>
          <w:rFonts w:ascii="Ping LCG Regular" w:hAnsi="Ping LCG Regular" w:cs="Calibri Light"/>
          <w:b/>
          <w:color w:val="000000"/>
          <w:sz w:val="20"/>
          <w:szCs w:val="20"/>
          <w:lang w:val="el-GR"/>
        </w:rPr>
        <w:lastRenderedPageBreak/>
        <w:t>ΠΑΡΑΡΤΗΜΑ</w:t>
      </w:r>
      <w:r w:rsidR="00EE236D" w:rsidRPr="00453CBA">
        <w:rPr>
          <w:rFonts w:ascii="Ping LCG Regular" w:hAnsi="Ping LCG Regular" w:cs="Calibri Light"/>
          <w:b/>
          <w:color w:val="000000"/>
          <w:sz w:val="20"/>
          <w:szCs w:val="20"/>
          <w:lang w:val="el-GR"/>
        </w:rPr>
        <w:t xml:space="preserve"> </w:t>
      </w:r>
      <w:r w:rsidR="00EE236D">
        <w:rPr>
          <w:rFonts w:ascii="Ping LCG Regular" w:hAnsi="Ping LCG Regular" w:cs="Calibri Light"/>
          <w:b/>
          <w:color w:val="000000"/>
          <w:sz w:val="20"/>
          <w:szCs w:val="20"/>
        </w:rPr>
        <w:t>II</w:t>
      </w:r>
    </w:p>
    <w:p w14:paraId="42D6014C" w14:textId="77777777" w:rsidR="00610A5A" w:rsidRPr="00704014" w:rsidRDefault="00610A5A" w:rsidP="00610A5A">
      <w:pPr>
        <w:autoSpaceDE w:val="0"/>
        <w:autoSpaceDN w:val="0"/>
        <w:adjustRightInd w:val="0"/>
        <w:rPr>
          <w:rFonts w:ascii="Ping LCG Regular" w:hAnsi="Ping LCG Regular" w:cs="Calibri Light"/>
          <w:b/>
          <w:color w:val="000000"/>
          <w:sz w:val="20"/>
          <w:szCs w:val="20"/>
          <w:lang w:val="el-GR"/>
        </w:rPr>
      </w:pPr>
    </w:p>
    <w:p w14:paraId="093B8F1F" w14:textId="77777777" w:rsidR="003D4D14" w:rsidRPr="003D4D14" w:rsidRDefault="003D4D14" w:rsidP="003D4D14">
      <w:pPr>
        <w:autoSpaceDE w:val="0"/>
        <w:autoSpaceDN w:val="0"/>
        <w:adjustRightInd w:val="0"/>
        <w:spacing w:after="160" w:line="259" w:lineRule="auto"/>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Ορισμοί και συμφωνία των Εναλλακτικών Δεικτών Μέτρησης Απόδοσης (“ΕΔΜΑ”)</w:t>
      </w:r>
    </w:p>
    <w:p w14:paraId="7D374D5A" w14:textId="77777777" w:rsidR="003D4D14" w:rsidRDefault="003D4D14" w:rsidP="003D4D14">
      <w:pPr>
        <w:autoSpaceDE w:val="0"/>
        <w:autoSpaceDN w:val="0"/>
        <w:adjustRightInd w:val="0"/>
        <w:rPr>
          <w:rFonts w:ascii="Ping LCG Regular" w:hAnsi="Ping LCG Regular" w:cs="Calibri Light"/>
          <w:b/>
          <w:color w:val="000000"/>
          <w:sz w:val="20"/>
          <w:szCs w:val="20"/>
          <w:lang w:val="el-GR"/>
        </w:rPr>
      </w:pPr>
    </w:p>
    <w:p w14:paraId="6DD39835" w14:textId="4C2D342C" w:rsidR="003D4D14" w:rsidRPr="003D4D14" w:rsidRDefault="003D4D14" w:rsidP="003D4D14">
      <w:pPr>
        <w:autoSpaceDE w:val="0"/>
        <w:autoSpaceDN w:val="0"/>
        <w:adjustRightInd w:val="0"/>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 xml:space="preserve">ΕΝΑΛΛΑΚΤΙΚΟΙ ΔΕΙΚΤΕΣ ΜΕΤΡΗΣΗΣ ΑΠΟΔΟΣΗΣ (“ΕΔΜΑ”) </w:t>
      </w:r>
    </w:p>
    <w:p w14:paraId="69831FDD"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Ο Όμιλος χρησιμοποιεί Εναλλακτικούς Δείκτες Μέτρησης Απόδοσης (“ΕΔΜΑ”) στα πλαίσια λήψης αποφάσεων σχετικά με τον χρηματοοικονομικό, λειτουργικό και στρατηγικό σχεδιασμό του καθώς και για την αξιολόγηση και την δημοσίευση των επιδόσεών του. Αυτοί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 </w:t>
      </w:r>
    </w:p>
    <w:p w14:paraId="666A4FCD"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1784689B"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 xml:space="preserve">Εναλλακτικοί Δείκτες Μέτρησης Απόδοσης (“ΕΔΜΑ”) </w:t>
      </w:r>
    </w:p>
    <w:p w14:paraId="4DADC2D2"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Κατά την περιγραφή των επιδόσεων του Ομίλου χρησιμοποιούνται “Προσαρμοσμένοι” δείκτες όπως: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χωρίς Ειδικές προσαρμογές, περιθώριο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 χωρίς Ειδικές προσαρμογές και Κέρδη / (Ζημίες) χωρίς Ειδικές προσαρμογές. Οι δείκτες αυτοί υπολογίζονται αφαιρώντας από τους οικονομικούς δείκτες, οι οποίοι έχουν υπολογιστεί από κονδύλια των ετήσιων ή ενδιάμεσων οικονομικών καταστάσεων, την επίδραση και τα κόστη που προκύπτουν από γεγονότα τα οποία συνέβησαν κατά την εκάστοτε  περίοδο αναφοράς και τα οποία δεν έχουν επηρεάσει τα ποσά των προηγούμενων περιόδων.</w:t>
      </w:r>
    </w:p>
    <w:p w14:paraId="1E17DB31"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1440A5AB"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D74877">
        <w:rPr>
          <w:rFonts w:ascii="Ping LCG Regular" w:hAnsi="Ping LCG Regular" w:cs="Calibri Light"/>
          <w:b/>
          <w:color w:val="000000"/>
          <w:sz w:val="20"/>
          <w:szCs w:val="20"/>
        </w:rPr>
        <w:t>EBITDA</w:t>
      </w:r>
      <w:r w:rsidRPr="003D4D14">
        <w:rPr>
          <w:rFonts w:ascii="Ping LCG Regular" w:hAnsi="Ping LCG Regular" w:cs="Calibri Light"/>
          <w:b/>
          <w:color w:val="000000"/>
          <w:sz w:val="20"/>
          <w:szCs w:val="20"/>
          <w:lang w:val="el-GR"/>
        </w:rPr>
        <w:t xml:space="preserve"> (Δείκτης λειτουργικών κερδών πριν από αποσβέσεις και απομειώσεις, καθαρές χρηματοοικονομικές δαπάνες και  φόρους) </w:t>
      </w:r>
    </w:p>
    <w:p w14:paraId="0F2053D0"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Ο δείκτης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εξυπηρετεί στην καλύτερη ανάλυση των λειτουργικών αποτελεσμάτων του Ομίλου και υπολογίζεται ως εξής: Σύνολο κύκλου εργασιών μείον το σύνολο των λειτουργικών εξόδων πριν από αποσβέσεις και απομειώσεις. Το περιθώριο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 υπολογίζεται διαιρώντας το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με το σύνολο του κύκλου εργασιών. Οι υπολογισμοί παρουσιάζονται στον Πίνακα Α.</w:t>
      </w:r>
    </w:p>
    <w:p w14:paraId="663BF900"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25CC55CF"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Λειτουργικές Δαπάνες προ αποσβέσεων και απομειώσεων, συνολικών καθαρών χρηματοοικονομικών δαπανών και κερδών/(ζημιών) από συγγενείς εταιρείες  χωρίς Ειδικές προσαρμογές</w:t>
      </w:r>
    </w:p>
    <w:p w14:paraId="2B04B3C0"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Ο δείκτης αυτός προκύπτει αν από τη γραμμή «Λειτουργικές Δαπάνες προ Αποσβέσεων και Απομειώσεων» του πίνακα του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όπως παρουσιάζεται ανωτέρω, αφαιρεθούν οι Ειδικές προσαρμογές που αναφέρονται στη σημείωση του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Επαναλαμβανόμενου κατωτέρω. Ο δείκτης παρουσιάζεται στον Πίνακα Β.</w:t>
      </w:r>
    </w:p>
    <w:p w14:paraId="6E70A683"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72B0E0A7"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D74877">
        <w:rPr>
          <w:rFonts w:ascii="Ping LCG Regular" w:hAnsi="Ping LCG Regular" w:cs="Calibri Light"/>
          <w:b/>
          <w:color w:val="000000"/>
          <w:sz w:val="20"/>
          <w:szCs w:val="20"/>
        </w:rPr>
        <w:t>EBITDA</w:t>
      </w:r>
      <w:r w:rsidRPr="003D4D14">
        <w:rPr>
          <w:rFonts w:ascii="Ping LCG Regular" w:hAnsi="Ping LCG Regular" w:cs="Calibri Light"/>
          <w:b/>
          <w:color w:val="000000"/>
          <w:sz w:val="20"/>
          <w:szCs w:val="20"/>
          <w:lang w:val="el-GR"/>
        </w:rPr>
        <w:t xml:space="preserve"> Επαναλαμβανόμενο (Δείκτης λειτουργικών κερδών πριν από αποσβέσεις και απομειώσεις, καθαρές χρηματοοικονομικές δαπάνες και  φόρους) </w:t>
      </w:r>
    </w:p>
    <w:p w14:paraId="06A76A9F"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Το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w:t>
      </w:r>
      <w:r w:rsidRPr="00D74877">
        <w:rPr>
          <w:rFonts w:ascii="Ping LCG Regular" w:hAnsi="Ping LCG Regular" w:cs="Calibri Light"/>
          <w:color w:val="000000"/>
          <w:sz w:val="20"/>
          <w:szCs w:val="20"/>
        </w:rPr>
        <w:t>E</w:t>
      </w:r>
      <w:r w:rsidRPr="003D4D14">
        <w:rPr>
          <w:rFonts w:ascii="Ping LCG Regular" w:hAnsi="Ping LCG Regular" w:cs="Calibri Light"/>
          <w:color w:val="000000"/>
          <w:sz w:val="20"/>
          <w:szCs w:val="20"/>
          <w:lang w:val="el-GR"/>
        </w:rPr>
        <w:t>παναλαμβανόμενο εξυπηρετεί στην καλύτερη ανάλυση των λειτουργικών αποτελεσμάτων του Ομίλου, εξαιρουμένης της επίδρασης των Ειδικών προσαρμογών. Για την τρίμηνη περίοδο που έληξε την 31η Μαρτίου 2023, δεν υπήρχαν Ειδικές προσαρμογές. Για την τρίμηνη περίοδο που έληξε την 31</w:t>
      </w:r>
      <w:r w:rsidRPr="003D4D14">
        <w:rPr>
          <w:rFonts w:ascii="Ping LCG Regular" w:hAnsi="Ping LCG Regular" w:cs="Calibri Light"/>
          <w:color w:val="000000"/>
          <w:sz w:val="20"/>
          <w:szCs w:val="20"/>
          <w:vertAlign w:val="superscript"/>
          <w:lang w:val="el-GR"/>
        </w:rPr>
        <w:t>η</w:t>
      </w:r>
      <w:r w:rsidRPr="003D4D14">
        <w:rPr>
          <w:rFonts w:ascii="Ping LCG Regular" w:hAnsi="Ping LCG Regular" w:cs="Calibri Light"/>
          <w:color w:val="000000"/>
          <w:sz w:val="20"/>
          <w:szCs w:val="20"/>
          <w:lang w:val="el-GR"/>
        </w:rPr>
        <w:t xml:space="preserve"> Μαρτίου 2024, υπήρξε η εξής Ειδική προσαρμογή: αποτίμηση συμβάσεων αγοραπωλησίας ηλεκτρικής ενέργειας ύψους € 31,9 εκατ. για τον Όμιλο (αρνητική επίπτωση). Το περιθώριο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 υπολογίζεται διαιρώντας το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με το σύνολο του κύκλου εργασιών Επαναλαμβανόμενου. Ο υπολογισμός του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Επαναλαμβανόμενου και του  περιθωρίου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παρουσιάζεται στον Πίνακα Γ.</w:t>
      </w:r>
    </w:p>
    <w:p w14:paraId="5FB2044A"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p>
    <w:p w14:paraId="7AFBF8F8" w14:textId="77777777" w:rsidR="003D4D14" w:rsidRPr="002B1E22" w:rsidRDefault="003D4D14">
      <w:pPr>
        <w:rPr>
          <w:rFonts w:ascii="Ping LCG Regular" w:hAnsi="Ping LCG Regular" w:cs="Calibri Light"/>
          <w:b/>
          <w:color w:val="000000"/>
          <w:sz w:val="20"/>
          <w:szCs w:val="20"/>
          <w:lang w:val="el-GR"/>
        </w:rPr>
      </w:pPr>
      <w:r w:rsidRPr="002B1E22">
        <w:rPr>
          <w:rFonts w:ascii="Ping LCG Regular" w:hAnsi="Ping LCG Regular" w:cs="Calibri Light"/>
          <w:b/>
          <w:color w:val="000000"/>
          <w:sz w:val="20"/>
          <w:szCs w:val="20"/>
          <w:lang w:val="el-GR"/>
        </w:rPr>
        <w:br w:type="page"/>
      </w:r>
    </w:p>
    <w:p w14:paraId="4B5B835E" w14:textId="4D9F7FF0"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D74877">
        <w:rPr>
          <w:rFonts w:ascii="Ping LCG Regular" w:hAnsi="Ping LCG Regular" w:cs="Calibri Light"/>
          <w:b/>
          <w:color w:val="000000"/>
          <w:sz w:val="20"/>
          <w:szCs w:val="20"/>
        </w:rPr>
        <w:lastRenderedPageBreak/>
        <w:t>EBIT</w:t>
      </w:r>
      <w:r w:rsidRPr="003D4D14">
        <w:rPr>
          <w:rFonts w:ascii="Ping LCG Regular" w:hAnsi="Ping LCG Regular" w:cs="Calibri Light"/>
          <w:b/>
          <w:color w:val="000000"/>
          <w:sz w:val="20"/>
          <w:szCs w:val="20"/>
          <w:lang w:val="el-GR"/>
        </w:rPr>
        <w:t xml:space="preserve"> (Δείκτης λειτουργικών κερδών πριν από καθαρές χρηματοοικονομικές δαπάνες και φόρους)</w:t>
      </w:r>
    </w:p>
    <w:p w14:paraId="10CB89FD"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Ο δείκτης </w:t>
      </w:r>
      <w:r w:rsidRPr="00D74877">
        <w:rPr>
          <w:rFonts w:ascii="Ping LCG Regular" w:hAnsi="Ping LCG Regular" w:cs="Calibri Light"/>
          <w:color w:val="000000"/>
          <w:sz w:val="20"/>
          <w:szCs w:val="20"/>
        </w:rPr>
        <w:t>EBIT</w:t>
      </w:r>
      <w:r w:rsidRPr="003D4D14">
        <w:rPr>
          <w:rFonts w:ascii="Ping LCG Regular" w:hAnsi="Ping LCG Regular" w:cs="Calibri Light"/>
          <w:color w:val="000000"/>
          <w:sz w:val="20"/>
          <w:szCs w:val="20"/>
          <w:lang w:val="el-GR"/>
        </w:rPr>
        <w:t xml:space="preserve"> εξυπηρετεί στην καλύτερη ανάλυση των λειτουργικών αποτελεσμάτων του Ομίλου και υπολογίζεται ως εξής: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(Δείκτης λειτουργικών κερδών πριν από αποσβέσεις και απομειώσεις, καθαρές χρηματοοικονομικές δαπάνες και φόρους) μείον τα ποσά των αποσβέσεων και των τυχόν απομειώσεων. Το περιθώριο </w:t>
      </w:r>
      <w:r w:rsidRPr="00D74877">
        <w:rPr>
          <w:rFonts w:ascii="Ping LCG Regular" w:hAnsi="Ping LCG Regular" w:cs="Calibri Light"/>
          <w:color w:val="000000"/>
          <w:sz w:val="20"/>
          <w:szCs w:val="20"/>
        </w:rPr>
        <w:t>EBIT</w:t>
      </w:r>
      <w:r w:rsidRPr="003D4D14">
        <w:rPr>
          <w:rFonts w:ascii="Ping LCG Regular" w:hAnsi="Ping LCG Regular" w:cs="Calibri Light"/>
          <w:color w:val="000000"/>
          <w:sz w:val="20"/>
          <w:szCs w:val="20"/>
          <w:lang w:val="el-GR"/>
        </w:rPr>
        <w:t xml:space="preserve"> (%) υπολογίζεται διαιρώντας το </w:t>
      </w:r>
      <w:r w:rsidRPr="00D74877">
        <w:rPr>
          <w:rFonts w:ascii="Ping LCG Regular" w:hAnsi="Ping LCG Regular" w:cs="Calibri Light"/>
          <w:color w:val="000000"/>
          <w:sz w:val="20"/>
          <w:szCs w:val="20"/>
        </w:rPr>
        <w:t>EBIT</w:t>
      </w:r>
      <w:r w:rsidRPr="003D4D14">
        <w:rPr>
          <w:rFonts w:ascii="Ping LCG Regular" w:hAnsi="Ping LCG Regular" w:cs="Calibri Light"/>
          <w:color w:val="000000"/>
          <w:sz w:val="20"/>
          <w:szCs w:val="20"/>
          <w:lang w:val="el-GR"/>
        </w:rPr>
        <w:t xml:space="preserve"> με το σύνολο του κύκλου εργασιών. Ο υπολογισμοί παρουσιάζονται στον Πίνακα Δ.</w:t>
      </w:r>
    </w:p>
    <w:p w14:paraId="6B796468"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2B0DDE26"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Καθαρό ποσό Αποσβέσεων Χρηματοοικονομικών Δαπανών και Κερδών από Συγγενείς Επιχειρήσεις.</w:t>
      </w:r>
    </w:p>
    <w:p w14:paraId="4E100EBA"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Ο Δείκτης αυτός υπολογίζεται ως το συμψηφισμένο καθαρό ποσό των κονδυλίων των αποσβέσεων χρήσης, των καθαρών χρηματοοικονομικών δαπανών και των κερδών / ζημιών από τις συγγενείς επιχειρήσεις του Ομίλου. Οι υπολογισμοί παρουσιάζονται στον Πίνακα Ε.</w:t>
      </w:r>
    </w:p>
    <w:p w14:paraId="5911D4E1" w14:textId="77777777" w:rsidR="003D4D14" w:rsidRPr="003D4D14" w:rsidRDefault="003D4D14" w:rsidP="003D4D14">
      <w:pPr>
        <w:autoSpaceDE w:val="0"/>
        <w:autoSpaceDN w:val="0"/>
        <w:adjustRightInd w:val="0"/>
        <w:rPr>
          <w:rFonts w:ascii="Ping LCG Regular" w:hAnsi="Ping LCG Regular" w:cs="Calibri Light"/>
          <w:b/>
          <w:color w:val="000000"/>
          <w:sz w:val="20"/>
          <w:szCs w:val="20"/>
          <w:lang w:val="el-GR"/>
        </w:rPr>
      </w:pPr>
    </w:p>
    <w:p w14:paraId="1C209761" w14:textId="77777777" w:rsidR="003D4D14" w:rsidRPr="003D4D14" w:rsidRDefault="003D4D14" w:rsidP="003D4D14">
      <w:pPr>
        <w:autoSpaceDE w:val="0"/>
        <w:autoSpaceDN w:val="0"/>
        <w:adjustRightInd w:val="0"/>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 xml:space="preserve">Καθαρός Δανεισμός </w:t>
      </w:r>
    </w:p>
    <w:p w14:paraId="295C1D56" w14:textId="77777777" w:rsidR="003D4D14" w:rsidRPr="00D74877" w:rsidRDefault="003D4D14" w:rsidP="003D4D14">
      <w:pPr>
        <w:autoSpaceDE w:val="0"/>
        <w:autoSpaceDN w:val="0"/>
        <w:adjustRightInd w:val="0"/>
        <w:jc w:val="both"/>
        <w:rPr>
          <w:rFonts w:ascii="Ping LCG Regular" w:hAnsi="Ping LCG Regular" w:cs="Calibri Light"/>
          <w:color w:val="000000"/>
          <w:sz w:val="20"/>
          <w:szCs w:val="20"/>
        </w:rPr>
      </w:pPr>
      <w:r w:rsidRPr="003D4D14">
        <w:rPr>
          <w:rFonts w:ascii="Ping LCG Regular" w:hAnsi="Ping LCG Regular" w:cs="Calibri Light"/>
          <w:color w:val="000000"/>
          <w:sz w:val="20"/>
          <w:szCs w:val="20"/>
          <w:lang w:val="el-GR"/>
        </w:rPr>
        <w:t xml:space="preserve">Ο καθαρός δανεισμός είναι ένας ΕΔΜΑ που χρησιμοποιεί η διοίκηση για να αξιολογήσει την κεφαλαιακή διάρθρωση του Ομίλου και την δυνατότητα μόχλευσης. Ο καθαρός δανεισμός υπολογίζεται προσθέτοντας στα μακροπρόθεσμα δάνεια το βραχυπρόθεσμο μέρος μακροπρόθεσμων δανείων και τα βραχυπρόθεσμα δάνεια, αφαιρώντας από το σύνολο τα χρηματικά διαθέσιμα, τις δεσμευμένες καταθέσεις που αφορούν σε δανειακές συμβάσεις και τα χρηματοοικονομικά περιουσιακά στοιχεία επιμετρούμενα στην εύλογη αξία μέσω των συνολικών αποτελεσμάτων και προσθέτοντας το αναπόσβεστο μέρος των εξόδων σύναψης δανείων. </w:t>
      </w:r>
      <w:r w:rsidRPr="00D74877">
        <w:rPr>
          <w:rFonts w:ascii="Ping LCG Regular" w:hAnsi="Ping LCG Regular" w:cs="Calibri Light"/>
          <w:color w:val="000000"/>
          <w:sz w:val="20"/>
          <w:szCs w:val="20"/>
        </w:rPr>
        <w:t>Οι υπολογισμοί παρουσιάζονται στον πίνακα ΣΤ.</w:t>
      </w:r>
    </w:p>
    <w:p w14:paraId="4DDE2F74" w14:textId="77777777" w:rsidR="003D4D14" w:rsidRPr="00D74877" w:rsidRDefault="003D4D14" w:rsidP="003D4D14">
      <w:pPr>
        <w:autoSpaceDE w:val="0"/>
        <w:autoSpaceDN w:val="0"/>
        <w:adjustRightInd w:val="0"/>
        <w:jc w:val="both"/>
        <w:rPr>
          <w:rFonts w:ascii="Ping LCG Regular" w:hAnsi="Ping LCG Regular" w:cs="Calibri Light"/>
          <w:color w:val="000000"/>
          <w:sz w:val="20"/>
          <w:szCs w:val="20"/>
        </w:rPr>
      </w:pPr>
    </w:p>
    <w:p w14:paraId="5AEB22D5" w14:textId="4A3D74D6" w:rsidR="00E76D91" w:rsidRDefault="00E76D91">
      <w:pPr>
        <w:rPr>
          <w:rFonts w:ascii="Ping LCG Regular" w:hAnsi="Ping LCG Regular" w:cs="Calibri Light"/>
          <w:color w:val="000000"/>
          <w:sz w:val="20"/>
          <w:szCs w:val="20"/>
        </w:rPr>
      </w:pPr>
      <w:r>
        <w:rPr>
          <w:rFonts w:ascii="Ping LCG Regular" w:hAnsi="Ping LCG Regular" w:cs="Calibri Light"/>
          <w:color w:val="000000"/>
          <w:sz w:val="20"/>
          <w:szCs w:val="20"/>
        </w:rPr>
        <w:br w:type="page"/>
      </w:r>
    </w:p>
    <w:p w14:paraId="32B80FCF"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TableGrid"/>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2022"/>
        <w:gridCol w:w="1984"/>
      </w:tblGrid>
      <w:tr w:rsidR="003D4D14" w:rsidRPr="0079654B" w14:paraId="7B1758F1" w14:textId="77777777" w:rsidTr="003D4D14">
        <w:trPr>
          <w:trHeight w:val="660"/>
        </w:trPr>
        <w:tc>
          <w:tcPr>
            <w:tcW w:w="8647" w:type="dxa"/>
            <w:gridSpan w:val="3"/>
            <w:hideMark/>
          </w:tcPr>
          <w:p w14:paraId="09A431CE"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ΠΙΝΑΚΑΣ Α - </w:t>
            </w: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(Δείκτης λειτουργικών κερδών πριν από αποσβέσεις και απομειώσεις, καθαρές χρηματοοικονομικές δαπάνες και  φόρους) </w:t>
            </w:r>
          </w:p>
        </w:tc>
      </w:tr>
      <w:tr w:rsidR="003D4D14" w:rsidRPr="00D74877" w14:paraId="52A13689" w14:textId="77777777" w:rsidTr="002B1E22">
        <w:trPr>
          <w:trHeight w:val="300"/>
        </w:trPr>
        <w:tc>
          <w:tcPr>
            <w:tcW w:w="4641" w:type="dxa"/>
            <w:noWrap/>
            <w:hideMark/>
          </w:tcPr>
          <w:p w14:paraId="49BBFCBA" w14:textId="7AABE0E8"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(σε </w:t>
            </w:r>
            <w:r w:rsidR="00EC54DE">
              <w:rPr>
                <w:rFonts w:ascii="Ping LCG Regular" w:hAnsi="Ping LCG Regular" w:cs="Calibri Light"/>
                <w:b/>
                <w:bCs/>
                <w:color w:val="000000"/>
                <w:sz w:val="20"/>
                <w:szCs w:val="20"/>
              </w:rPr>
              <w:t xml:space="preserve">€ </w:t>
            </w:r>
            <w:r w:rsidRPr="00D74877">
              <w:rPr>
                <w:rFonts w:ascii="Ping LCG Regular" w:hAnsi="Ping LCG Regular" w:cs="Calibri Light"/>
                <w:b/>
                <w:bCs/>
                <w:color w:val="000000"/>
                <w:sz w:val="20"/>
                <w:szCs w:val="20"/>
              </w:rPr>
              <w:t>εκατ.)</w:t>
            </w:r>
          </w:p>
        </w:tc>
        <w:tc>
          <w:tcPr>
            <w:tcW w:w="2022" w:type="dxa"/>
            <w:noWrap/>
            <w:hideMark/>
          </w:tcPr>
          <w:p w14:paraId="4BDB4A0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1984" w:type="dxa"/>
            <w:noWrap/>
            <w:hideMark/>
          </w:tcPr>
          <w:p w14:paraId="36B4D6CD"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7D768768" w14:textId="77777777" w:rsidTr="003D4D14">
        <w:trPr>
          <w:trHeight w:val="315"/>
        </w:trPr>
        <w:tc>
          <w:tcPr>
            <w:tcW w:w="4641" w:type="dxa"/>
            <w:noWrap/>
            <w:hideMark/>
          </w:tcPr>
          <w:p w14:paraId="0DB60B3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4006" w:type="dxa"/>
            <w:gridSpan w:val="2"/>
            <w:tcBorders>
              <w:bottom w:val="single" w:sz="12" w:space="0" w:color="auto"/>
            </w:tcBorders>
            <w:hideMark/>
          </w:tcPr>
          <w:p w14:paraId="1BD9614D"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ΟΜΙΛΟΣ</w:t>
            </w:r>
          </w:p>
        </w:tc>
      </w:tr>
      <w:tr w:rsidR="003D4D14" w:rsidRPr="00D74877" w14:paraId="722A8075" w14:textId="77777777" w:rsidTr="002B1E22">
        <w:trPr>
          <w:trHeight w:val="300"/>
        </w:trPr>
        <w:tc>
          <w:tcPr>
            <w:tcW w:w="4641" w:type="dxa"/>
            <w:hideMark/>
          </w:tcPr>
          <w:p w14:paraId="4735A91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2" w:type="dxa"/>
            <w:tcBorders>
              <w:top w:val="single" w:sz="12" w:space="0" w:color="auto"/>
              <w:bottom w:val="nil"/>
            </w:tcBorders>
            <w:hideMark/>
          </w:tcPr>
          <w:p w14:paraId="70A4275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1984" w:type="dxa"/>
            <w:tcBorders>
              <w:top w:val="single" w:sz="12" w:space="0" w:color="auto"/>
              <w:bottom w:val="nil"/>
            </w:tcBorders>
            <w:hideMark/>
          </w:tcPr>
          <w:p w14:paraId="64858AC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27845C73" w14:textId="77777777" w:rsidTr="002B1E22">
        <w:trPr>
          <w:trHeight w:val="285"/>
        </w:trPr>
        <w:tc>
          <w:tcPr>
            <w:tcW w:w="4641" w:type="dxa"/>
            <w:hideMark/>
          </w:tcPr>
          <w:p w14:paraId="638F0C3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2" w:type="dxa"/>
            <w:hideMark/>
          </w:tcPr>
          <w:p w14:paraId="01D4F38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984" w:type="dxa"/>
            <w:hideMark/>
          </w:tcPr>
          <w:p w14:paraId="618E3497"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326A2D33" w14:textId="77777777" w:rsidTr="002B1E22">
        <w:trPr>
          <w:trHeight w:val="300"/>
        </w:trPr>
        <w:tc>
          <w:tcPr>
            <w:tcW w:w="4641" w:type="dxa"/>
            <w:hideMark/>
          </w:tcPr>
          <w:p w14:paraId="1BDB7F39"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Κύκλος Εργασιών (1)</w:t>
            </w:r>
          </w:p>
        </w:tc>
        <w:tc>
          <w:tcPr>
            <w:tcW w:w="2022" w:type="dxa"/>
            <w:noWrap/>
            <w:hideMark/>
          </w:tcPr>
          <w:p w14:paraId="4EAC603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1.936,3</w:t>
            </w:r>
          </w:p>
        </w:tc>
        <w:tc>
          <w:tcPr>
            <w:tcW w:w="1984" w:type="dxa"/>
            <w:noWrap/>
            <w:hideMark/>
          </w:tcPr>
          <w:p w14:paraId="45F3BB6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1.992,8</w:t>
            </w:r>
          </w:p>
        </w:tc>
      </w:tr>
      <w:tr w:rsidR="003D4D14" w:rsidRPr="00D74877" w14:paraId="1AFBF3D4" w14:textId="77777777" w:rsidTr="002B1E22">
        <w:trPr>
          <w:trHeight w:val="285"/>
        </w:trPr>
        <w:tc>
          <w:tcPr>
            <w:tcW w:w="4641" w:type="dxa"/>
            <w:hideMark/>
          </w:tcPr>
          <w:p w14:paraId="2E54C6E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μείον :</w:t>
            </w:r>
          </w:p>
        </w:tc>
        <w:tc>
          <w:tcPr>
            <w:tcW w:w="2022" w:type="dxa"/>
            <w:hideMark/>
          </w:tcPr>
          <w:p w14:paraId="055E9F4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984" w:type="dxa"/>
            <w:hideMark/>
          </w:tcPr>
          <w:p w14:paraId="1A110BB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10E33F0A" w14:textId="77777777" w:rsidTr="002B1E22">
        <w:trPr>
          <w:trHeight w:val="300"/>
        </w:trPr>
        <w:tc>
          <w:tcPr>
            <w:tcW w:w="4641" w:type="dxa"/>
            <w:hideMark/>
          </w:tcPr>
          <w:p w14:paraId="4EC5DF43"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Λειτουργικές Δαπάνες προ Αποσβέσεων και Απομειώσεων (2)</w:t>
            </w:r>
          </w:p>
        </w:tc>
        <w:tc>
          <w:tcPr>
            <w:tcW w:w="2022" w:type="dxa"/>
            <w:hideMark/>
          </w:tcPr>
          <w:p w14:paraId="1812DF9D" w14:textId="77777777" w:rsidR="003D4D14" w:rsidRPr="00D74877" w:rsidRDefault="003D4D14" w:rsidP="00BC7423">
            <w:pPr>
              <w:autoSpaceDE w:val="0"/>
              <w:autoSpaceDN w:val="0"/>
              <w:adjustRightInd w:val="0"/>
              <w:spacing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1.508,9</w:t>
            </w:r>
          </w:p>
        </w:tc>
        <w:tc>
          <w:tcPr>
            <w:tcW w:w="1984" w:type="dxa"/>
            <w:hideMark/>
          </w:tcPr>
          <w:p w14:paraId="27194E72" w14:textId="77777777" w:rsidR="003D4D14" w:rsidRPr="00D74877" w:rsidRDefault="003D4D14" w:rsidP="00BC7423">
            <w:pPr>
              <w:autoSpaceDE w:val="0"/>
              <w:autoSpaceDN w:val="0"/>
              <w:adjustRightInd w:val="0"/>
              <w:spacing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1.712,3</w:t>
            </w:r>
          </w:p>
        </w:tc>
      </w:tr>
      <w:tr w:rsidR="003D4D14" w:rsidRPr="00D74877" w14:paraId="153CEBE2" w14:textId="77777777" w:rsidTr="002B1E22">
        <w:trPr>
          <w:trHeight w:val="285"/>
        </w:trPr>
        <w:tc>
          <w:tcPr>
            <w:tcW w:w="4641" w:type="dxa"/>
            <w:hideMark/>
          </w:tcPr>
          <w:p w14:paraId="78F60B0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Αμοιβές προσωπικού</w:t>
            </w:r>
          </w:p>
        </w:tc>
        <w:tc>
          <w:tcPr>
            <w:tcW w:w="2022" w:type="dxa"/>
            <w:hideMark/>
          </w:tcPr>
          <w:p w14:paraId="121194F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206,5</w:t>
            </w:r>
          </w:p>
        </w:tc>
        <w:tc>
          <w:tcPr>
            <w:tcW w:w="1984" w:type="dxa"/>
            <w:noWrap/>
            <w:hideMark/>
          </w:tcPr>
          <w:p w14:paraId="478D5D3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180,5</w:t>
            </w:r>
          </w:p>
        </w:tc>
      </w:tr>
      <w:tr w:rsidR="003D4D14" w:rsidRPr="00D74877" w14:paraId="6CAF2EE5" w14:textId="77777777" w:rsidTr="002B1E22">
        <w:trPr>
          <w:trHeight w:val="285"/>
        </w:trPr>
        <w:tc>
          <w:tcPr>
            <w:tcW w:w="4641" w:type="dxa"/>
            <w:hideMark/>
          </w:tcPr>
          <w:p w14:paraId="5D31F0B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Υγρά Καύσιμα</w:t>
            </w:r>
          </w:p>
        </w:tc>
        <w:tc>
          <w:tcPr>
            <w:tcW w:w="2022" w:type="dxa"/>
            <w:hideMark/>
          </w:tcPr>
          <w:p w14:paraId="5FECEF2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118,3</w:t>
            </w:r>
          </w:p>
        </w:tc>
        <w:tc>
          <w:tcPr>
            <w:tcW w:w="1984" w:type="dxa"/>
            <w:noWrap/>
            <w:hideMark/>
          </w:tcPr>
          <w:p w14:paraId="1FA088D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142,3</w:t>
            </w:r>
          </w:p>
        </w:tc>
      </w:tr>
      <w:tr w:rsidR="003D4D14" w:rsidRPr="00D74877" w14:paraId="6AAC5948" w14:textId="77777777" w:rsidTr="002B1E22">
        <w:trPr>
          <w:trHeight w:val="285"/>
        </w:trPr>
        <w:tc>
          <w:tcPr>
            <w:tcW w:w="4641" w:type="dxa"/>
            <w:hideMark/>
          </w:tcPr>
          <w:p w14:paraId="17A6F24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Φυσικό Αέριο</w:t>
            </w:r>
          </w:p>
        </w:tc>
        <w:tc>
          <w:tcPr>
            <w:tcW w:w="2022" w:type="dxa"/>
            <w:hideMark/>
          </w:tcPr>
          <w:p w14:paraId="7AA8E3E8"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224,3</w:t>
            </w:r>
          </w:p>
        </w:tc>
        <w:tc>
          <w:tcPr>
            <w:tcW w:w="1984" w:type="dxa"/>
            <w:noWrap/>
            <w:hideMark/>
          </w:tcPr>
          <w:p w14:paraId="3C3C26E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214,3</w:t>
            </w:r>
          </w:p>
        </w:tc>
      </w:tr>
      <w:tr w:rsidR="003D4D14" w:rsidRPr="00D74877" w14:paraId="013F1768" w14:textId="77777777" w:rsidTr="002B1E22">
        <w:trPr>
          <w:trHeight w:val="285"/>
        </w:trPr>
        <w:tc>
          <w:tcPr>
            <w:tcW w:w="4641" w:type="dxa"/>
            <w:hideMark/>
          </w:tcPr>
          <w:p w14:paraId="70EA0D4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Αγορές ηλεκτρικής ενέργειας</w:t>
            </w:r>
          </w:p>
        </w:tc>
        <w:tc>
          <w:tcPr>
            <w:tcW w:w="2022" w:type="dxa"/>
            <w:hideMark/>
          </w:tcPr>
          <w:p w14:paraId="5E0D1D42"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350,4</w:t>
            </w:r>
          </w:p>
        </w:tc>
        <w:tc>
          <w:tcPr>
            <w:tcW w:w="1984" w:type="dxa"/>
            <w:noWrap/>
            <w:hideMark/>
          </w:tcPr>
          <w:p w14:paraId="3828688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720,5</w:t>
            </w:r>
          </w:p>
        </w:tc>
      </w:tr>
      <w:tr w:rsidR="003D4D14" w:rsidRPr="00D74877" w14:paraId="67314879" w14:textId="77777777" w:rsidTr="002B1E22">
        <w:trPr>
          <w:trHeight w:val="213"/>
        </w:trPr>
        <w:tc>
          <w:tcPr>
            <w:tcW w:w="4641" w:type="dxa"/>
            <w:hideMark/>
          </w:tcPr>
          <w:p w14:paraId="6C7196C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Δικαιώματα εκπομπών αερίων</w:t>
            </w:r>
          </w:p>
        </w:tc>
        <w:tc>
          <w:tcPr>
            <w:tcW w:w="2022" w:type="dxa"/>
            <w:hideMark/>
          </w:tcPr>
          <w:p w14:paraId="5CB1E0E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192,8</w:t>
            </w:r>
          </w:p>
        </w:tc>
        <w:tc>
          <w:tcPr>
            <w:tcW w:w="1984" w:type="dxa"/>
            <w:noWrap/>
            <w:hideMark/>
          </w:tcPr>
          <w:p w14:paraId="2F0ED5E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230,5</w:t>
            </w:r>
          </w:p>
        </w:tc>
      </w:tr>
      <w:tr w:rsidR="003D4D14" w:rsidRPr="00D74877" w14:paraId="4A71AE41" w14:textId="77777777" w:rsidTr="002B1E22">
        <w:trPr>
          <w:trHeight w:val="285"/>
        </w:trPr>
        <w:tc>
          <w:tcPr>
            <w:tcW w:w="4641" w:type="dxa"/>
            <w:hideMark/>
          </w:tcPr>
          <w:p w14:paraId="68B63B5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Προβλέψεις για επισφαλείς απαιτήσεις</w:t>
            </w:r>
          </w:p>
        </w:tc>
        <w:tc>
          <w:tcPr>
            <w:tcW w:w="2022" w:type="dxa"/>
            <w:hideMark/>
          </w:tcPr>
          <w:p w14:paraId="320EB22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92,7</w:t>
            </w:r>
          </w:p>
        </w:tc>
        <w:tc>
          <w:tcPr>
            <w:tcW w:w="1984" w:type="dxa"/>
            <w:noWrap/>
            <w:hideMark/>
          </w:tcPr>
          <w:p w14:paraId="78D625B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34,1</w:t>
            </w:r>
          </w:p>
        </w:tc>
      </w:tr>
      <w:tr w:rsidR="003D4D14" w:rsidRPr="00D74877" w14:paraId="4FBFCB79" w14:textId="77777777" w:rsidTr="002B1E22">
        <w:trPr>
          <w:trHeight w:val="331"/>
        </w:trPr>
        <w:tc>
          <w:tcPr>
            <w:tcW w:w="4641" w:type="dxa"/>
            <w:hideMark/>
          </w:tcPr>
          <w:p w14:paraId="0636C64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Λοιπά (έσοδα), έξοδα, καθαρά</w:t>
            </w:r>
          </w:p>
        </w:tc>
        <w:tc>
          <w:tcPr>
            <w:tcW w:w="2022" w:type="dxa"/>
            <w:hideMark/>
          </w:tcPr>
          <w:p w14:paraId="7E60B93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323,9</w:t>
            </w:r>
          </w:p>
        </w:tc>
        <w:tc>
          <w:tcPr>
            <w:tcW w:w="1984" w:type="dxa"/>
            <w:noWrap/>
            <w:hideMark/>
          </w:tcPr>
          <w:p w14:paraId="5FAECB72"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190,1</w:t>
            </w:r>
          </w:p>
        </w:tc>
      </w:tr>
      <w:tr w:rsidR="003D4D14" w:rsidRPr="00D74877" w14:paraId="7495D2AB" w14:textId="77777777" w:rsidTr="002B1E22">
        <w:trPr>
          <w:trHeight w:val="495"/>
        </w:trPr>
        <w:tc>
          <w:tcPr>
            <w:tcW w:w="4641" w:type="dxa"/>
            <w:hideMark/>
          </w:tcPr>
          <w:p w14:paraId="0BEDD2D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EBITDA (Α) = [(1) - (2)]</w:t>
            </w:r>
          </w:p>
        </w:tc>
        <w:tc>
          <w:tcPr>
            <w:tcW w:w="2022" w:type="dxa"/>
            <w:hideMark/>
          </w:tcPr>
          <w:p w14:paraId="3DBEAC4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427,4</w:t>
            </w:r>
          </w:p>
        </w:tc>
        <w:tc>
          <w:tcPr>
            <w:tcW w:w="1984" w:type="dxa"/>
            <w:hideMark/>
          </w:tcPr>
          <w:p w14:paraId="56E399F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61BD4874" w14:textId="77777777" w:rsidTr="002B1E22">
        <w:trPr>
          <w:trHeight w:val="390"/>
        </w:trPr>
        <w:tc>
          <w:tcPr>
            <w:tcW w:w="4641" w:type="dxa"/>
            <w:hideMark/>
          </w:tcPr>
          <w:p w14:paraId="32BFF0B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ΠΕΡΙΘΩΡΙΟ EBITDA [(Α) / (1)]</w:t>
            </w:r>
          </w:p>
        </w:tc>
        <w:tc>
          <w:tcPr>
            <w:tcW w:w="2022" w:type="dxa"/>
            <w:hideMark/>
          </w:tcPr>
          <w:p w14:paraId="088198D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22,1%</w:t>
            </w:r>
          </w:p>
        </w:tc>
        <w:tc>
          <w:tcPr>
            <w:tcW w:w="1984" w:type="dxa"/>
            <w:hideMark/>
          </w:tcPr>
          <w:p w14:paraId="6ED0F7B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14,1%</w:t>
            </w:r>
          </w:p>
        </w:tc>
      </w:tr>
    </w:tbl>
    <w:p w14:paraId="359183E6"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p w14:paraId="2A7DEEC4" w14:textId="5A433869" w:rsidR="00E76D91" w:rsidRDefault="00E76D91">
      <w:pPr>
        <w:rPr>
          <w:rFonts w:ascii="Ping LCG Regular" w:hAnsi="Ping LCG Regular" w:cs="Calibri Light"/>
          <w:color w:val="000000"/>
          <w:sz w:val="20"/>
          <w:szCs w:val="20"/>
        </w:rPr>
      </w:pPr>
      <w:r>
        <w:rPr>
          <w:rFonts w:ascii="Ping LCG Regular" w:hAnsi="Ping LCG Regular" w:cs="Calibri Light"/>
          <w:color w:val="000000"/>
          <w:sz w:val="20"/>
          <w:szCs w:val="20"/>
        </w:rPr>
        <w:br w:type="page"/>
      </w:r>
    </w:p>
    <w:p w14:paraId="5FD80788"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TableGrid"/>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34"/>
        <w:gridCol w:w="2029"/>
        <w:gridCol w:w="1984"/>
      </w:tblGrid>
      <w:tr w:rsidR="003D4D14" w:rsidRPr="0079654B" w14:paraId="20FEBDE2" w14:textId="77777777" w:rsidTr="003D4D14">
        <w:trPr>
          <w:trHeight w:val="907"/>
        </w:trPr>
        <w:tc>
          <w:tcPr>
            <w:tcW w:w="8647" w:type="dxa"/>
            <w:gridSpan w:val="3"/>
            <w:hideMark/>
          </w:tcPr>
          <w:p w14:paraId="3C3D915F"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ΠΙΝΑΚΑΣ Β. Λειτουργικές Δαπάνες προ Αποσβέσεων και Απομειώσεων, συνολικών καθαρών χρηματοοικονομικών δαπανών και κερδών /(ζημιών) από συγγενείς εταιρείες, χωρίς Ειδικές προσαρμογές</w:t>
            </w:r>
          </w:p>
        </w:tc>
      </w:tr>
      <w:tr w:rsidR="003D4D14" w:rsidRPr="00D74877" w14:paraId="354D973D" w14:textId="77777777" w:rsidTr="002B1E22">
        <w:trPr>
          <w:trHeight w:val="446"/>
        </w:trPr>
        <w:tc>
          <w:tcPr>
            <w:tcW w:w="4634" w:type="dxa"/>
            <w:noWrap/>
            <w:hideMark/>
          </w:tcPr>
          <w:p w14:paraId="67C74ECE" w14:textId="2012AC1A"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(σε </w:t>
            </w:r>
            <w:r>
              <w:rPr>
                <w:rFonts w:ascii="Ping LCG Regular" w:hAnsi="Ping LCG Regular" w:cs="Calibri Light"/>
                <w:b/>
                <w:bCs/>
                <w:color w:val="000000"/>
                <w:sz w:val="20"/>
                <w:szCs w:val="20"/>
              </w:rPr>
              <w:t xml:space="preserve">€ </w:t>
            </w:r>
            <w:r w:rsidRPr="00D74877">
              <w:rPr>
                <w:rFonts w:ascii="Ping LCG Regular" w:hAnsi="Ping LCG Regular" w:cs="Calibri Light"/>
                <w:b/>
                <w:bCs/>
                <w:color w:val="000000"/>
                <w:sz w:val="20"/>
                <w:szCs w:val="20"/>
              </w:rPr>
              <w:t>εκατ.)</w:t>
            </w:r>
          </w:p>
        </w:tc>
        <w:tc>
          <w:tcPr>
            <w:tcW w:w="2029" w:type="dxa"/>
            <w:noWrap/>
            <w:hideMark/>
          </w:tcPr>
          <w:p w14:paraId="64272E85"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1984" w:type="dxa"/>
            <w:noWrap/>
            <w:hideMark/>
          </w:tcPr>
          <w:p w14:paraId="4E307D8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5CA6AA67" w14:textId="77777777" w:rsidTr="003D4D14">
        <w:trPr>
          <w:trHeight w:val="307"/>
        </w:trPr>
        <w:tc>
          <w:tcPr>
            <w:tcW w:w="4634" w:type="dxa"/>
            <w:hideMark/>
          </w:tcPr>
          <w:p w14:paraId="7CAFD327"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13" w:type="dxa"/>
            <w:gridSpan w:val="2"/>
            <w:tcBorders>
              <w:bottom w:val="single" w:sz="12" w:space="0" w:color="auto"/>
            </w:tcBorders>
            <w:hideMark/>
          </w:tcPr>
          <w:p w14:paraId="004470C3"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ΟΜΙΛΟΣ</w:t>
            </w:r>
          </w:p>
        </w:tc>
      </w:tr>
      <w:tr w:rsidR="003D4D14" w:rsidRPr="00D74877" w14:paraId="2ACC23AC" w14:textId="77777777" w:rsidTr="002B1E22">
        <w:trPr>
          <w:trHeight w:val="307"/>
        </w:trPr>
        <w:tc>
          <w:tcPr>
            <w:tcW w:w="4634" w:type="dxa"/>
            <w:hideMark/>
          </w:tcPr>
          <w:p w14:paraId="00E408C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9" w:type="dxa"/>
            <w:tcBorders>
              <w:top w:val="single" w:sz="12" w:space="0" w:color="auto"/>
              <w:bottom w:val="nil"/>
            </w:tcBorders>
            <w:hideMark/>
          </w:tcPr>
          <w:p w14:paraId="4731E74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1984" w:type="dxa"/>
            <w:tcBorders>
              <w:top w:val="single" w:sz="12" w:space="0" w:color="auto"/>
              <w:bottom w:val="nil"/>
            </w:tcBorders>
            <w:hideMark/>
          </w:tcPr>
          <w:p w14:paraId="60835E7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642919CD" w14:textId="77777777" w:rsidTr="003D4D14">
        <w:trPr>
          <w:trHeight w:val="292"/>
        </w:trPr>
        <w:tc>
          <w:tcPr>
            <w:tcW w:w="4634" w:type="dxa"/>
            <w:hideMark/>
          </w:tcPr>
          <w:p w14:paraId="74813D8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13" w:type="dxa"/>
            <w:gridSpan w:val="2"/>
            <w:tcBorders>
              <w:top w:val="nil"/>
            </w:tcBorders>
            <w:hideMark/>
          </w:tcPr>
          <w:p w14:paraId="1D23095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r>
      <w:tr w:rsidR="003D4D14" w:rsidRPr="00D74877" w14:paraId="4EE678F5" w14:textId="77777777" w:rsidTr="002B1E22">
        <w:trPr>
          <w:trHeight w:val="292"/>
        </w:trPr>
        <w:tc>
          <w:tcPr>
            <w:tcW w:w="4634" w:type="dxa"/>
            <w:hideMark/>
          </w:tcPr>
          <w:p w14:paraId="17CFC237"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Λειτουργικές Δαπάνες προ Αποσβέσεων και Απομειώσεων (2)</w:t>
            </w:r>
          </w:p>
        </w:tc>
        <w:tc>
          <w:tcPr>
            <w:tcW w:w="2029" w:type="dxa"/>
            <w:hideMark/>
          </w:tcPr>
          <w:p w14:paraId="185A6B4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1.508,9</w:t>
            </w:r>
          </w:p>
        </w:tc>
        <w:tc>
          <w:tcPr>
            <w:tcW w:w="1984" w:type="dxa"/>
            <w:hideMark/>
          </w:tcPr>
          <w:p w14:paraId="5FD3796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1.712,3</w:t>
            </w:r>
          </w:p>
        </w:tc>
      </w:tr>
      <w:tr w:rsidR="003D4D14" w:rsidRPr="00D74877" w14:paraId="1D98F64F" w14:textId="77777777" w:rsidTr="002B1E22">
        <w:trPr>
          <w:trHeight w:val="446"/>
        </w:trPr>
        <w:tc>
          <w:tcPr>
            <w:tcW w:w="4634" w:type="dxa"/>
            <w:noWrap/>
            <w:hideMark/>
          </w:tcPr>
          <w:p w14:paraId="7ABB1C7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i/>
                <w:iCs/>
                <w:color w:val="000000"/>
                <w:sz w:val="20"/>
                <w:szCs w:val="20"/>
              </w:rPr>
            </w:pPr>
            <w:r w:rsidRPr="00D74877">
              <w:rPr>
                <w:rFonts w:ascii="Ping LCG Regular" w:hAnsi="Ping LCG Regular" w:cs="Calibri Light"/>
                <w:i/>
                <w:iCs/>
                <w:color w:val="000000"/>
                <w:sz w:val="20"/>
                <w:szCs w:val="20"/>
              </w:rPr>
              <w:t>μείον Ειδικές προσαρμογές:</w:t>
            </w:r>
          </w:p>
        </w:tc>
        <w:tc>
          <w:tcPr>
            <w:tcW w:w="2029" w:type="dxa"/>
            <w:noWrap/>
            <w:hideMark/>
          </w:tcPr>
          <w:p w14:paraId="77406D7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i/>
                <w:iCs/>
                <w:color w:val="000000"/>
                <w:sz w:val="20"/>
                <w:szCs w:val="20"/>
              </w:rPr>
            </w:pPr>
            <w:r w:rsidRPr="00D74877">
              <w:rPr>
                <w:rFonts w:ascii="Ping LCG Regular" w:hAnsi="Ping LCG Regular" w:cs="Calibri Light"/>
                <w:i/>
                <w:iCs/>
                <w:color w:val="000000"/>
                <w:sz w:val="20"/>
                <w:szCs w:val="20"/>
              </w:rPr>
              <w:t>31,9</w:t>
            </w:r>
          </w:p>
        </w:tc>
        <w:tc>
          <w:tcPr>
            <w:tcW w:w="1984" w:type="dxa"/>
            <w:noWrap/>
            <w:hideMark/>
          </w:tcPr>
          <w:p w14:paraId="7DB4D69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i/>
                <w:iCs/>
                <w:color w:val="000000"/>
                <w:sz w:val="20"/>
                <w:szCs w:val="20"/>
              </w:rPr>
            </w:pPr>
            <w:r w:rsidRPr="00D74877">
              <w:rPr>
                <w:rFonts w:ascii="Ping LCG Regular" w:hAnsi="Ping LCG Regular" w:cs="Calibri Light"/>
                <w:i/>
                <w:iCs/>
                <w:color w:val="000000"/>
                <w:sz w:val="20"/>
                <w:szCs w:val="20"/>
              </w:rPr>
              <w:t>-</w:t>
            </w:r>
          </w:p>
        </w:tc>
      </w:tr>
      <w:tr w:rsidR="003D4D14" w:rsidRPr="00D74877" w14:paraId="221E254B" w14:textId="77777777" w:rsidTr="002B1E22">
        <w:trPr>
          <w:trHeight w:val="292"/>
        </w:trPr>
        <w:tc>
          <w:tcPr>
            <w:tcW w:w="4634" w:type="dxa"/>
            <w:noWrap/>
          </w:tcPr>
          <w:p w14:paraId="102E08FF"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Ζημία (Κέρδη) από αποτίμηση συμβάσεων αγοραπωλησίας ηλεκτρικής ενέργειας</w:t>
            </w:r>
          </w:p>
        </w:tc>
        <w:tc>
          <w:tcPr>
            <w:tcW w:w="2029" w:type="dxa"/>
            <w:noWrap/>
          </w:tcPr>
          <w:p w14:paraId="511BDF60"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31,9</w:t>
            </w:r>
          </w:p>
        </w:tc>
        <w:tc>
          <w:tcPr>
            <w:tcW w:w="1984" w:type="dxa"/>
            <w:noWrap/>
          </w:tcPr>
          <w:p w14:paraId="35553D5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w:t>
            </w:r>
          </w:p>
        </w:tc>
      </w:tr>
      <w:tr w:rsidR="003D4D14" w:rsidRPr="00D74877" w14:paraId="203689D2" w14:textId="77777777" w:rsidTr="002B1E22">
        <w:trPr>
          <w:trHeight w:val="195"/>
        </w:trPr>
        <w:tc>
          <w:tcPr>
            <w:tcW w:w="4634" w:type="dxa"/>
            <w:hideMark/>
          </w:tcPr>
          <w:p w14:paraId="3065EC2D"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Λειτουργικές Δαπάνες προ Αποσβέσεων και Απομειώσεων  χωρίς Ειδικές προσαρμογές</w:t>
            </w:r>
          </w:p>
        </w:tc>
        <w:tc>
          <w:tcPr>
            <w:tcW w:w="2029" w:type="dxa"/>
            <w:hideMark/>
          </w:tcPr>
          <w:p w14:paraId="512242E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1.477,0</w:t>
            </w:r>
          </w:p>
        </w:tc>
        <w:tc>
          <w:tcPr>
            <w:tcW w:w="1984" w:type="dxa"/>
            <w:hideMark/>
          </w:tcPr>
          <w:p w14:paraId="2A6C84F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1.712,3</w:t>
            </w:r>
          </w:p>
        </w:tc>
      </w:tr>
    </w:tbl>
    <w:p w14:paraId="675201B2"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TableGrid"/>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2022"/>
        <w:gridCol w:w="1984"/>
      </w:tblGrid>
      <w:tr w:rsidR="003D4D14" w:rsidRPr="0079654B" w14:paraId="4450C60E" w14:textId="77777777" w:rsidTr="00EC54DE">
        <w:trPr>
          <w:trHeight w:val="765"/>
        </w:trPr>
        <w:tc>
          <w:tcPr>
            <w:tcW w:w="8647" w:type="dxa"/>
            <w:gridSpan w:val="3"/>
            <w:hideMark/>
          </w:tcPr>
          <w:p w14:paraId="501803A6"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ΠΙΝΑΚΑΣ Γ.  </w:t>
            </w: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ΕΠΑΝΑΛΑΜΒΑΝΟΜΕΝΟ (Δείκτης λειτουργικών κερδών πριν από αποσβέσεις και απομειώσεις, καθαρές χρηματοοικονομικές δαπάνες και φόρους, χωρίς Ειδικές προσαρμογές)</w:t>
            </w:r>
          </w:p>
        </w:tc>
      </w:tr>
      <w:tr w:rsidR="003D4D14" w:rsidRPr="00D74877" w14:paraId="44986E4B" w14:textId="77777777" w:rsidTr="002B1E22">
        <w:trPr>
          <w:trHeight w:val="300"/>
        </w:trPr>
        <w:tc>
          <w:tcPr>
            <w:tcW w:w="4641" w:type="dxa"/>
            <w:noWrap/>
            <w:hideMark/>
          </w:tcPr>
          <w:p w14:paraId="69CADD40" w14:textId="34609CE8"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(σε </w:t>
            </w:r>
            <w:r>
              <w:rPr>
                <w:rFonts w:ascii="Ping LCG Regular" w:hAnsi="Ping LCG Regular" w:cs="Calibri Light"/>
                <w:b/>
                <w:bCs/>
                <w:color w:val="000000"/>
                <w:sz w:val="20"/>
                <w:szCs w:val="20"/>
              </w:rPr>
              <w:t xml:space="preserve">€ </w:t>
            </w:r>
            <w:r w:rsidRPr="00D74877">
              <w:rPr>
                <w:rFonts w:ascii="Ping LCG Regular" w:hAnsi="Ping LCG Regular" w:cs="Calibri Light"/>
                <w:b/>
                <w:bCs/>
                <w:color w:val="000000"/>
                <w:sz w:val="20"/>
                <w:szCs w:val="20"/>
              </w:rPr>
              <w:t>εκατ.)</w:t>
            </w:r>
          </w:p>
        </w:tc>
        <w:tc>
          <w:tcPr>
            <w:tcW w:w="2022" w:type="dxa"/>
            <w:noWrap/>
            <w:hideMark/>
          </w:tcPr>
          <w:p w14:paraId="2696DC1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1984" w:type="dxa"/>
            <w:noWrap/>
            <w:hideMark/>
          </w:tcPr>
          <w:p w14:paraId="0486DB5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7F8BC7D1" w14:textId="77777777" w:rsidTr="00EC54DE">
        <w:trPr>
          <w:trHeight w:val="300"/>
        </w:trPr>
        <w:tc>
          <w:tcPr>
            <w:tcW w:w="4641" w:type="dxa"/>
            <w:vMerge w:val="restart"/>
            <w:noWrap/>
            <w:hideMark/>
          </w:tcPr>
          <w:p w14:paraId="26CC121B"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06" w:type="dxa"/>
            <w:gridSpan w:val="2"/>
            <w:tcBorders>
              <w:bottom w:val="single" w:sz="12" w:space="0" w:color="auto"/>
            </w:tcBorders>
            <w:hideMark/>
          </w:tcPr>
          <w:p w14:paraId="7DDF6DFF"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ΟΜΙΛΟΣ</w:t>
            </w:r>
          </w:p>
        </w:tc>
      </w:tr>
      <w:tr w:rsidR="003D4D14" w:rsidRPr="00D74877" w14:paraId="3984E3A2" w14:textId="77777777" w:rsidTr="002B1E22">
        <w:trPr>
          <w:trHeight w:val="300"/>
        </w:trPr>
        <w:tc>
          <w:tcPr>
            <w:tcW w:w="4641" w:type="dxa"/>
            <w:vMerge/>
            <w:hideMark/>
          </w:tcPr>
          <w:p w14:paraId="307DAA9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2022" w:type="dxa"/>
            <w:tcBorders>
              <w:top w:val="single" w:sz="12" w:space="0" w:color="auto"/>
              <w:bottom w:val="nil"/>
            </w:tcBorders>
            <w:hideMark/>
          </w:tcPr>
          <w:p w14:paraId="6007357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1984" w:type="dxa"/>
            <w:tcBorders>
              <w:top w:val="single" w:sz="12" w:space="0" w:color="auto"/>
              <w:bottom w:val="nil"/>
            </w:tcBorders>
            <w:hideMark/>
          </w:tcPr>
          <w:p w14:paraId="0F9A9CF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38E48F2D" w14:textId="77777777" w:rsidTr="00EC54DE">
        <w:trPr>
          <w:trHeight w:val="300"/>
        </w:trPr>
        <w:tc>
          <w:tcPr>
            <w:tcW w:w="4641" w:type="dxa"/>
            <w:vMerge/>
            <w:hideMark/>
          </w:tcPr>
          <w:p w14:paraId="3A1D9C4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4006" w:type="dxa"/>
            <w:gridSpan w:val="2"/>
            <w:tcBorders>
              <w:top w:val="nil"/>
            </w:tcBorders>
            <w:hideMark/>
          </w:tcPr>
          <w:p w14:paraId="1D008B16"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12DD7208" w14:textId="77777777" w:rsidTr="002B1E22">
        <w:trPr>
          <w:trHeight w:val="300"/>
        </w:trPr>
        <w:tc>
          <w:tcPr>
            <w:tcW w:w="4641" w:type="dxa"/>
            <w:noWrap/>
            <w:hideMark/>
          </w:tcPr>
          <w:p w14:paraId="3355966D"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EBITDA (1)</w:t>
            </w:r>
          </w:p>
        </w:tc>
        <w:tc>
          <w:tcPr>
            <w:tcW w:w="2022" w:type="dxa"/>
            <w:hideMark/>
          </w:tcPr>
          <w:p w14:paraId="7578AEB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427,4</w:t>
            </w:r>
          </w:p>
        </w:tc>
        <w:tc>
          <w:tcPr>
            <w:tcW w:w="1984" w:type="dxa"/>
            <w:hideMark/>
          </w:tcPr>
          <w:p w14:paraId="31D3512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3FB8922E" w14:textId="77777777" w:rsidTr="002B1E22">
        <w:trPr>
          <w:trHeight w:val="300"/>
        </w:trPr>
        <w:tc>
          <w:tcPr>
            <w:tcW w:w="4641" w:type="dxa"/>
            <w:noWrap/>
            <w:hideMark/>
          </w:tcPr>
          <w:p w14:paraId="546C521B"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συν Ειδικές προσαρμογές (2):</w:t>
            </w:r>
          </w:p>
        </w:tc>
        <w:tc>
          <w:tcPr>
            <w:tcW w:w="2022" w:type="dxa"/>
            <w:hideMark/>
          </w:tcPr>
          <w:p w14:paraId="5A96AE4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31,9</w:t>
            </w:r>
          </w:p>
        </w:tc>
        <w:tc>
          <w:tcPr>
            <w:tcW w:w="1984" w:type="dxa"/>
            <w:hideMark/>
          </w:tcPr>
          <w:p w14:paraId="61A9874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
        </w:tc>
      </w:tr>
      <w:tr w:rsidR="003D4D14" w:rsidRPr="00D74877" w14:paraId="55098CAD" w14:textId="77777777" w:rsidTr="002B1E22">
        <w:trPr>
          <w:trHeight w:val="285"/>
        </w:trPr>
        <w:tc>
          <w:tcPr>
            <w:tcW w:w="4641" w:type="dxa"/>
            <w:noWrap/>
            <w:hideMark/>
          </w:tcPr>
          <w:p w14:paraId="26CCB63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2" w:type="dxa"/>
            <w:noWrap/>
            <w:hideMark/>
          </w:tcPr>
          <w:p w14:paraId="16765A9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984" w:type="dxa"/>
            <w:noWrap/>
            <w:hideMark/>
          </w:tcPr>
          <w:p w14:paraId="557DC55E"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401FA5D0" w14:textId="77777777" w:rsidTr="002B1E22">
        <w:trPr>
          <w:trHeight w:val="285"/>
        </w:trPr>
        <w:tc>
          <w:tcPr>
            <w:tcW w:w="4641" w:type="dxa"/>
            <w:noWrap/>
          </w:tcPr>
          <w:p w14:paraId="6A66A768"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Ζημία (Κέρδη) από αποτίμηση συμβάσεων αγοραπωλησίας ηλεκτρικής ενέργειας</w:t>
            </w:r>
          </w:p>
        </w:tc>
        <w:tc>
          <w:tcPr>
            <w:tcW w:w="2022" w:type="dxa"/>
            <w:noWrap/>
          </w:tcPr>
          <w:p w14:paraId="7F31237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31,9</w:t>
            </w:r>
          </w:p>
        </w:tc>
        <w:tc>
          <w:tcPr>
            <w:tcW w:w="1984" w:type="dxa"/>
            <w:noWrap/>
          </w:tcPr>
          <w:p w14:paraId="1B2A482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w:t>
            </w:r>
          </w:p>
        </w:tc>
      </w:tr>
      <w:tr w:rsidR="003D4D14" w:rsidRPr="00D74877" w14:paraId="416B6400" w14:textId="77777777" w:rsidTr="002B1E22">
        <w:trPr>
          <w:trHeight w:val="285"/>
        </w:trPr>
        <w:tc>
          <w:tcPr>
            <w:tcW w:w="4641" w:type="dxa"/>
            <w:noWrap/>
          </w:tcPr>
          <w:p w14:paraId="1928F0A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2022" w:type="dxa"/>
            <w:noWrap/>
          </w:tcPr>
          <w:p w14:paraId="52A4490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p>
        </w:tc>
        <w:tc>
          <w:tcPr>
            <w:tcW w:w="1984" w:type="dxa"/>
            <w:noWrap/>
          </w:tcPr>
          <w:p w14:paraId="0393352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p>
        </w:tc>
      </w:tr>
      <w:tr w:rsidR="003D4D14" w:rsidRPr="00D74877" w14:paraId="2D1F29C7" w14:textId="77777777" w:rsidTr="002B1E22">
        <w:trPr>
          <w:trHeight w:val="600"/>
        </w:trPr>
        <w:tc>
          <w:tcPr>
            <w:tcW w:w="4641" w:type="dxa"/>
            <w:hideMark/>
          </w:tcPr>
          <w:p w14:paraId="4FE82260"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ΕΠΑΝΑΛΑΜΒΑΝΟΜΕΝΟ ΧΩΡΙΣ ΕΙΔΙΚΕΣ ΠΡΟΣΑΡΜΟΓΕΣ (3) = [(1)+(2)]</w:t>
            </w:r>
          </w:p>
        </w:tc>
        <w:tc>
          <w:tcPr>
            <w:tcW w:w="2022" w:type="dxa"/>
            <w:noWrap/>
            <w:hideMark/>
          </w:tcPr>
          <w:p w14:paraId="177B969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459,3</w:t>
            </w:r>
          </w:p>
        </w:tc>
        <w:tc>
          <w:tcPr>
            <w:tcW w:w="1984" w:type="dxa"/>
            <w:noWrap/>
            <w:hideMark/>
          </w:tcPr>
          <w:p w14:paraId="7B4BFC68"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0F8F4004" w14:textId="77777777" w:rsidTr="002B1E22">
        <w:trPr>
          <w:trHeight w:val="435"/>
        </w:trPr>
        <w:tc>
          <w:tcPr>
            <w:tcW w:w="4641" w:type="dxa"/>
            <w:hideMark/>
          </w:tcPr>
          <w:p w14:paraId="1F9284D9"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ΚΥΚΛΟΣ ΕΡΓΑΣΙΩΝ (4) </w:t>
            </w:r>
          </w:p>
        </w:tc>
        <w:tc>
          <w:tcPr>
            <w:tcW w:w="2022" w:type="dxa"/>
            <w:hideMark/>
          </w:tcPr>
          <w:p w14:paraId="52FF2C3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1.936,3</w:t>
            </w:r>
          </w:p>
        </w:tc>
        <w:tc>
          <w:tcPr>
            <w:tcW w:w="1984" w:type="dxa"/>
            <w:hideMark/>
          </w:tcPr>
          <w:p w14:paraId="2250C48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1.992,8</w:t>
            </w:r>
          </w:p>
        </w:tc>
      </w:tr>
      <w:tr w:rsidR="003D4D14" w:rsidRPr="00D74877" w14:paraId="18B4CBCF" w14:textId="77777777" w:rsidTr="002B1E22">
        <w:trPr>
          <w:trHeight w:val="142"/>
        </w:trPr>
        <w:tc>
          <w:tcPr>
            <w:tcW w:w="4641" w:type="dxa"/>
            <w:hideMark/>
          </w:tcPr>
          <w:p w14:paraId="059780F2"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ΠΕΡΙΘΩΡΙΟ </w:t>
            </w: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ΕΠΑΝΑΛΑΜΒΑΝΟΜΕΝΟ ΧΩΡΙΣ ΕΙΔΙΚΕΣ ΠΡΟΣΑΡΜΟΓΕΣ [(3)/(4)</w:t>
            </w:r>
          </w:p>
        </w:tc>
        <w:tc>
          <w:tcPr>
            <w:tcW w:w="2022" w:type="dxa"/>
            <w:hideMark/>
          </w:tcPr>
          <w:p w14:paraId="203A6CD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23,7%</w:t>
            </w:r>
          </w:p>
        </w:tc>
        <w:tc>
          <w:tcPr>
            <w:tcW w:w="1984" w:type="dxa"/>
            <w:hideMark/>
          </w:tcPr>
          <w:p w14:paraId="7C6DBB3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14,1%</w:t>
            </w:r>
          </w:p>
        </w:tc>
      </w:tr>
    </w:tbl>
    <w:p w14:paraId="6AFB83F6"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TableGrid"/>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1825"/>
        <w:gridCol w:w="2181"/>
      </w:tblGrid>
      <w:tr w:rsidR="003D4D14" w:rsidRPr="0079654B" w14:paraId="4CCF12ED" w14:textId="77777777" w:rsidTr="00EC54DE">
        <w:trPr>
          <w:trHeight w:val="795"/>
        </w:trPr>
        <w:tc>
          <w:tcPr>
            <w:tcW w:w="8647" w:type="dxa"/>
            <w:gridSpan w:val="3"/>
            <w:hideMark/>
          </w:tcPr>
          <w:p w14:paraId="4E02644F"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lastRenderedPageBreak/>
              <w:t xml:space="preserve">ΠΙΝΑΚΑΣ Δ. </w:t>
            </w:r>
            <w:r w:rsidRPr="00D74877">
              <w:rPr>
                <w:rFonts w:ascii="Ping LCG Regular" w:hAnsi="Ping LCG Regular" w:cs="Calibri Light"/>
                <w:b/>
                <w:bCs/>
                <w:color w:val="000000"/>
                <w:sz w:val="20"/>
                <w:szCs w:val="20"/>
              </w:rPr>
              <w:t>EBIT</w:t>
            </w:r>
            <w:r w:rsidRPr="003D4D14">
              <w:rPr>
                <w:rFonts w:ascii="Ping LCG Regular" w:hAnsi="Ping LCG Regular" w:cs="Calibri Light"/>
                <w:b/>
                <w:bCs/>
                <w:color w:val="000000"/>
                <w:sz w:val="20"/>
                <w:szCs w:val="20"/>
                <w:lang w:val="el-GR"/>
              </w:rPr>
              <w:t xml:space="preserve"> (Δείκτης λειτουργικών κερδών πριν από καθαρές χρηματοοικονομικές δαπάνες και φόρους)</w:t>
            </w:r>
          </w:p>
        </w:tc>
      </w:tr>
      <w:tr w:rsidR="003D4D14" w:rsidRPr="00D74877" w14:paraId="5F0C1035" w14:textId="77777777" w:rsidTr="00EC54DE">
        <w:trPr>
          <w:trHeight w:val="300"/>
        </w:trPr>
        <w:tc>
          <w:tcPr>
            <w:tcW w:w="4641" w:type="dxa"/>
            <w:noWrap/>
            <w:hideMark/>
          </w:tcPr>
          <w:p w14:paraId="3F15DAF9" w14:textId="5FCD877D"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(σε </w:t>
            </w:r>
            <w:r>
              <w:rPr>
                <w:rFonts w:ascii="Ping LCG Regular" w:hAnsi="Ping LCG Regular" w:cs="Calibri Light"/>
                <w:b/>
                <w:bCs/>
                <w:color w:val="000000"/>
                <w:sz w:val="20"/>
                <w:szCs w:val="20"/>
              </w:rPr>
              <w:t xml:space="preserve">€ </w:t>
            </w:r>
            <w:r w:rsidRPr="00D74877">
              <w:rPr>
                <w:rFonts w:ascii="Ping LCG Regular" w:hAnsi="Ping LCG Regular" w:cs="Calibri Light"/>
                <w:b/>
                <w:bCs/>
                <w:color w:val="000000"/>
                <w:sz w:val="20"/>
                <w:szCs w:val="20"/>
              </w:rPr>
              <w:t>εκατ.)</w:t>
            </w:r>
          </w:p>
        </w:tc>
        <w:tc>
          <w:tcPr>
            <w:tcW w:w="1825" w:type="dxa"/>
            <w:noWrap/>
            <w:hideMark/>
          </w:tcPr>
          <w:p w14:paraId="447E6A3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2181" w:type="dxa"/>
            <w:noWrap/>
            <w:hideMark/>
          </w:tcPr>
          <w:p w14:paraId="40BE493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3413D40A" w14:textId="77777777" w:rsidTr="00EC54DE">
        <w:trPr>
          <w:trHeight w:val="300"/>
        </w:trPr>
        <w:tc>
          <w:tcPr>
            <w:tcW w:w="4641" w:type="dxa"/>
            <w:vMerge w:val="restart"/>
            <w:hideMark/>
          </w:tcPr>
          <w:p w14:paraId="6CD6AEC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4006" w:type="dxa"/>
            <w:gridSpan w:val="2"/>
            <w:tcBorders>
              <w:bottom w:val="single" w:sz="12" w:space="0" w:color="auto"/>
            </w:tcBorders>
            <w:hideMark/>
          </w:tcPr>
          <w:p w14:paraId="02FCB762"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ΟΜΙΛΟΣ</w:t>
            </w:r>
          </w:p>
        </w:tc>
      </w:tr>
      <w:tr w:rsidR="003D4D14" w:rsidRPr="00D74877" w14:paraId="15ACA9C2" w14:textId="77777777" w:rsidTr="00EC54DE">
        <w:trPr>
          <w:trHeight w:val="300"/>
        </w:trPr>
        <w:tc>
          <w:tcPr>
            <w:tcW w:w="4641" w:type="dxa"/>
            <w:vMerge/>
            <w:hideMark/>
          </w:tcPr>
          <w:p w14:paraId="77BA484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c>
          <w:tcPr>
            <w:tcW w:w="1825" w:type="dxa"/>
            <w:tcBorders>
              <w:top w:val="single" w:sz="12" w:space="0" w:color="auto"/>
              <w:bottom w:val="nil"/>
            </w:tcBorders>
            <w:hideMark/>
          </w:tcPr>
          <w:p w14:paraId="4073583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2181" w:type="dxa"/>
            <w:tcBorders>
              <w:top w:val="single" w:sz="12" w:space="0" w:color="auto"/>
              <w:bottom w:val="nil"/>
            </w:tcBorders>
            <w:hideMark/>
          </w:tcPr>
          <w:p w14:paraId="240CAF4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14C8F85E" w14:textId="77777777" w:rsidTr="00EC54DE">
        <w:trPr>
          <w:trHeight w:val="289"/>
        </w:trPr>
        <w:tc>
          <w:tcPr>
            <w:tcW w:w="4641" w:type="dxa"/>
            <w:vMerge/>
            <w:hideMark/>
          </w:tcPr>
          <w:p w14:paraId="1BF93A17"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c>
          <w:tcPr>
            <w:tcW w:w="4006" w:type="dxa"/>
            <w:gridSpan w:val="2"/>
            <w:tcBorders>
              <w:top w:val="nil"/>
            </w:tcBorders>
            <w:hideMark/>
          </w:tcPr>
          <w:p w14:paraId="43364A3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3934F925" w14:textId="77777777" w:rsidTr="00EC54DE">
        <w:trPr>
          <w:trHeight w:val="300"/>
        </w:trPr>
        <w:tc>
          <w:tcPr>
            <w:tcW w:w="4641" w:type="dxa"/>
            <w:vMerge/>
            <w:hideMark/>
          </w:tcPr>
          <w:p w14:paraId="7CECFB5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c>
          <w:tcPr>
            <w:tcW w:w="1825" w:type="dxa"/>
            <w:hideMark/>
          </w:tcPr>
          <w:p w14:paraId="2A727C7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2181" w:type="dxa"/>
            <w:hideMark/>
          </w:tcPr>
          <w:p w14:paraId="051CB41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7D660322" w14:textId="77777777" w:rsidTr="00EC54DE">
        <w:trPr>
          <w:trHeight w:val="300"/>
        </w:trPr>
        <w:tc>
          <w:tcPr>
            <w:tcW w:w="4641" w:type="dxa"/>
            <w:hideMark/>
          </w:tcPr>
          <w:p w14:paraId="4046DBC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EBITDA</w:t>
            </w:r>
          </w:p>
        </w:tc>
        <w:tc>
          <w:tcPr>
            <w:tcW w:w="1825" w:type="dxa"/>
            <w:hideMark/>
          </w:tcPr>
          <w:p w14:paraId="796A4B3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427,4</w:t>
            </w:r>
          </w:p>
        </w:tc>
        <w:tc>
          <w:tcPr>
            <w:tcW w:w="2181" w:type="dxa"/>
            <w:hideMark/>
          </w:tcPr>
          <w:p w14:paraId="7DD55D3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7E89613C" w14:textId="77777777" w:rsidTr="00EC54DE">
        <w:trPr>
          <w:trHeight w:val="285"/>
        </w:trPr>
        <w:tc>
          <w:tcPr>
            <w:tcW w:w="4641" w:type="dxa"/>
            <w:hideMark/>
          </w:tcPr>
          <w:p w14:paraId="4D932EC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u w:val="single"/>
              </w:rPr>
            </w:pPr>
            <w:r w:rsidRPr="00D74877">
              <w:rPr>
                <w:rFonts w:ascii="Ping LCG Regular" w:hAnsi="Ping LCG Regular" w:cs="Calibri Light"/>
                <w:color w:val="000000"/>
                <w:sz w:val="20"/>
                <w:szCs w:val="20"/>
                <w:u w:val="single"/>
              </w:rPr>
              <w:t>μείον :</w:t>
            </w:r>
          </w:p>
        </w:tc>
        <w:tc>
          <w:tcPr>
            <w:tcW w:w="1825" w:type="dxa"/>
            <w:hideMark/>
          </w:tcPr>
          <w:p w14:paraId="22776DA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u w:val="single"/>
              </w:rPr>
            </w:pPr>
          </w:p>
        </w:tc>
        <w:tc>
          <w:tcPr>
            <w:tcW w:w="2181" w:type="dxa"/>
            <w:hideMark/>
          </w:tcPr>
          <w:p w14:paraId="5AB5765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u w:val="single"/>
              </w:rPr>
            </w:pPr>
          </w:p>
        </w:tc>
      </w:tr>
      <w:tr w:rsidR="003D4D14" w:rsidRPr="00D74877" w14:paraId="10B798A2" w14:textId="77777777" w:rsidTr="00EC54DE">
        <w:trPr>
          <w:trHeight w:val="285"/>
        </w:trPr>
        <w:tc>
          <w:tcPr>
            <w:tcW w:w="4641" w:type="dxa"/>
            <w:hideMark/>
          </w:tcPr>
          <w:p w14:paraId="77642A2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Αποσβέσεις και απομείωση παγίων </w:t>
            </w:r>
          </w:p>
        </w:tc>
        <w:tc>
          <w:tcPr>
            <w:tcW w:w="1825" w:type="dxa"/>
            <w:hideMark/>
          </w:tcPr>
          <w:p w14:paraId="58B17DE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215,5</w:t>
            </w:r>
          </w:p>
        </w:tc>
        <w:tc>
          <w:tcPr>
            <w:tcW w:w="2181" w:type="dxa"/>
            <w:hideMark/>
          </w:tcPr>
          <w:p w14:paraId="2C388E4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153,6</w:t>
            </w:r>
          </w:p>
        </w:tc>
      </w:tr>
      <w:tr w:rsidR="003D4D14" w:rsidRPr="00D74877" w14:paraId="5926CBEC" w14:textId="77777777" w:rsidTr="00EC54DE">
        <w:trPr>
          <w:trHeight w:val="285"/>
        </w:trPr>
        <w:tc>
          <w:tcPr>
            <w:tcW w:w="4641" w:type="dxa"/>
          </w:tcPr>
          <w:p w14:paraId="6E6739F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Απομείωση αξίας στοιχείων ενεργητικού</w:t>
            </w:r>
          </w:p>
        </w:tc>
        <w:tc>
          <w:tcPr>
            <w:tcW w:w="1825" w:type="dxa"/>
          </w:tcPr>
          <w:p w14:paraId="0927C500" w14:textId="1146792D" w:rsidR="003D4D14" w:rsidRPr="0079654B" w:rsidRDefault="003D4D14" w:rsidP="00BC7423">
            <w:pPr>
              <w:autoSpaceDE w:val="0"/>
              <w:autoSpaceDN w:val="0"/>
              <w:adjustRightInd w:val="0"/>
              <w:spacing w:after="160" w:line="259" w:lineRule="auto"/>
              <w:jc w:val="right"/>
              <w:rPr>
                <w:rFonts w:ascii="Ping LCG Regular" w:hAnsi="Ping LCG Regular" w:cs="Calibri Light"/>
                <w:color w:val="000000"/>
                <w:sz w:val="20"/>
                <w:szCs w:val="20"/>
                <w:lang w:val="el-GR"/>
              </w:rPr>
            </w:pPr>
            <w:r w:rsidRPr="00D74877">
              <w:rPr>
                <w:rFonts w:ascii="Ping LCG Regular" w:hAnsi="Ping LCG Regular" w:cs="Calibri Light"/>
                <w:color w:val="000000"/>
                <w:sz w:val="20"/>
                <w:szCs w:val="20"/>
              </w:rPr>
              <w:t>1,</w:t>
            </w:r>
            <w:r w:rsidR="0079654B">
              <w:rPr>
                <w:rFonts w:ascii="Ping LCG Regular" w:hAnsi="Ping LCG Regular" w:cs="Calibri Light"/>
                <w:color w:val="000000"/>
                <w:sz w:val="20"/>
                <w:szCs w:val="20"/>
                <w:lang w:val="el-GR"/>
              </w:rPr>
              <w:t>4</w:t>
            </w:r>
          </w:p>
        </w:tc>
        <w:tc>
          <w:tcPr>
            <w:tcW w:w="2181" w:type="dxa"/>
          </w:tcPr>
          <w:p w14:paraId="55BD45A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w:t>
            </w:r>
          </w:p>
        </w:tc>
      </w:tr>
      <w:tr w:rsidR="003D4D14" w:rsidRPr="00D74877" w14:paraId="472E2074" w14:textId="77777777" w:rsidTr="00EC54DE">
        <w:trPr>
          <w:trHeight w:val="300"/>
        </w:trPr>
        <w:tc>
          <w:tcPr>
            <w:tcW w:w="4641" w:type="dxa"/>
            <w:hideMark/>
          </w:tcPr>
          <w:p w14:paraId="406A00E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ΕΒΙΤ (Α)</w:t>
            </w:r>
          </w:p>
        </w:tc>
        <w:tc>
          <w:tcPr>
            <w:tcW w:w="1825" w:type="dxa"/>
            <w:hideMark/>
          </w:tcPr>
          <w:p w14:paraId="3DB1E53A" w14:textId="39D48325" w:rsidR="003D4D14" w:rsidRPr="00351D93"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lang w:val="el-GR"/>
              </w:rPr>
            </w:pPr>
            <w:r w:rsidRPr="00D74877">
              <w:rPr>
                <w:rFonts w:ascii="Ping LCG Regular" w:hAnsi="Ping LCG Regular" w:cs="Calibri Light"/>
                <w:b/>
                <w:bCs/>
                <w:color w:val="000000"/>
                <w:sz w:val="20"/>
                <w:szCs w:val="20"/>
              </w:rPr>
              <w:t>210,</w:t>
            </w:r>
            <w:r w:rsidR="00351D93">
              <w:rPr>
                <w:rFonts w:ascii="Ping LCG Regular" w:hAnsi="Ping LCG Regular" w:cs="Calibri Light"/>
                <w:b/>
                <w:bCs/>
                <w:color w:val="000000"/>
                <w:sz w:val="20"/>
                <w:szCs w:val="20"/>
                <w:lang w:val="el-GR"/>
              </w:rPr>
              <w:t>5</w:t>
            </w:r>
          </w:p>
        </w:tc>
        <w:tc>
          <w:tcPr>
            <w:tcW w:w="2181" w:type="dxa"/>
            <w:hideMark/>
          </w:tcPr>
          <w:p w14:paraId="6CB3C23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126,9</w:t>
            </w:r>
          </w:p>
        </w:tc>
      </w:tr>
      <w:tr w:rsidR="003D4D14" w:rsidRPr="00D74877" w14:paraId="27449C43" w14:textId="77777777" w:rsidTr="00EC54DE">
        <w:trPr>
          <w:trHeight w:val="300"/>
        </w:trPr>
        <w:tc>
          <w:tcPr>
            <w:tcW w:w="4641" w:type="dxa"/>
            <w:hideMark/>
          </w:tcPr>
          <w:p w14:paraId="4F9FDAC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Κύκλος Εργασιών (1)</w:t>
            </w:r>
          </w:p>
        </w:tc>
        <w:tc>
          <w:tcPr>
            <w:tcW w:w="1825" w:type="dxa"/>
            <w:hideMark/>
          </w:tcPr>
          <w:p w14:paraId="4298FFE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1.936,3</w:t>
            </w:r>
          </w:p>
        </w:tc>
        <w:tc>
          <w:tcPr>
            <w:tcW w:w="2181" w:type="dxa"/>
            <w:hideMark/>
          </w:tcPr>
          <w:p w14:paraId="029EF5B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1.992,8</w:t>
            </w:r>
          </w:p>
        </w:tc>
      </w:tr>
      <w:tr w:rsidR="003D4D14" w:rsidRPr="00D74877" w14:paraId="74E5DBA8" w14:textId="77777777" w:rsidTr="00EC54DE">
        <w:trPr>
          <w:trHeight w:val="66"/>
        </w:trPr>
        <w:tc>
          <w:tcPr>
            <w:tcW w:w="4641" w:type="dxa"/>
            <w:hideMark/>
          </w:tcPr>
          <w:p w14:paraId="0E2B6DB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ΠΕΡΙΘΩΡΙΟ EBIT [(Α) / (1)]</w:t>
            </w:r>
          </w:p>
        </w:tc>
        <w:tc>
          <w:tcPr>
            <w:tcW w:w="1825" w:type="dxa"/>
            <w:hideMark/>
          </w:tcPr>
          <w:p w14:paraId="331CD8E0"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10,9%</w:t>
            </w:r>
          </w:p>
        </w:tc>
        <w:tc>
          <w:tcPr>
            <w:tcW w:w="2181" w:type="dxa"/>
            <w:hideMark/>
          </w:tcPr>
          <w:p w14:paraId="74B8E99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6,4%</w:t>
            </w:r>
          </w:p>
        </w:tc>
      </w:tr>
    </w:tbl>
    <w:p w14:paraId="3128B6D7"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TableGrid"/>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1825"/>
        <w:gridCol w:w="2181"/>
      </w:tblGrid>
      <w:tr w:rsidR="003D4D14" w:rsidRPr="0079654B" w14:paraId="1AC1BBBB" w14:textId="77777777" w:rsidTr="00EC54DE">
        <w:trPr>
          <w:trHeight w:val="780"/>
        </w:trPr>
        <w:tc>
          <w:tcPr>
            <w:tcW w:w="8647" w:type="dxa"/>
            <w:gridSpan w:val="3"/>
            <w:hideMark/>
          </w:tcPr>
          <w:p w14:paraId="01FB24DC"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ΠΙΝΑΚΑΣ Ε. ΚΑΘΑΡΟ ΠΟΣΟ ΑΠΟΣΒΕΣΕΩΝ, ΧΡΗΜΑΤΟΟΙΚΟΝΟΜΙΚΩΝ ΔΑΠΑΝΩΝ ΚΑΙ ΚΕΡΔΩΝ ΑΠΌ ΣΥΓΓΕΝΕΙΣ ΕΠΙΧΕΙΡΗΣΕΙΣ</w:t>
            </w:r>
          </w:p>
        </w:tc>
      </w:tr>
      <w:tr w:rsidR="003D4D14" w:rsidRPr="00D74877" w14:paraId="15EB5E54" w14:textId="77777777" w:rsidTr="00EC54DE">
        <w:trPr>
          <w:trHeight w:val="300"/>
        </w:trPr>
        <w:tc>
          <w:tcPr>
            <w:tcW w:w="4641" w:type="dxa"/>
            <w:noWrap/>
            <w:hideMark/>
          </w:tcPr>
          <w:p w14:paraId="154BA412" w14:textId="5788DCF3"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(σε </w:t>
            </w:r>
            <w:r>
              <w:rPr>
                <w:rFonts w:ascii="Ping LCG Regular" w:hAnsi="Ping LCG Regular" w:cs="Calibri Light"/>
                <w:b/>
                <w:bCs/>
                <w:color w:val="000000"/>
                <w:sz w:val="20"/>
                <w:szCs w:val="20"/>
              </w:rPr>
              <w:t xml:space="preserve">€ </w:t>
            </w:r>
            <w:r w:rsidRPr="00D74877">
              <w:rPr>
                <w:rFonts w:ascii="Ping LCG Regular" w:hAnsi="Ping LCG Regular" w:cs="Calibri Light"/>
                <w:b/>
                <w:bCs/>
                <w:color w:val="000000"/>
                <w:sz w:val="20"/>
                <w:szCs w:val="20"/>
              </w:rPr>
              <w:t>εκατ.)</w:t>
            </w:r>
          </w:p>
        </w:tc>
        <w:tc>
          <w:tcPr>
            <w:tcW w:w="1825" w:type="dxa"/>
            <w:noWrap/>
            <w:hideMark/>
          </w:tcPr>
          <w:p w14:paraId="11E1F45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2181" w:type="dxa"/>
            <w:noWrap/>
            <w:hideMark/>
          </w:tcPr>
          <w:p w14:paraId="2466C6F5"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0E6F0386" w14:textId="77777777" w:rsidTr="00EC54DE">
        <w:trPr>
          <w:trHeight w:val="300"/>
        </w:trPr>
        <w:tc>
          <w:tcPr>
            <w:tcW w:w="4641" w:type="dxa"/>
            <w:noWrap/>
            <w:hideMark/>
          </w:tcPr>
          <w:p w14:paraId="6CB161C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06" w:type="dxa"/>
            <w:gridSpan w:val="2"/>
            <w:tcBorders>
              <w:bottom w:val="single" w:sz="12" w:space="0" w:color="auto"/>
            </w:tcBorders>
            <w:hideMark/>
          </w:tcPr>
          <w:p w14:paraId="6C017193"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ΟΜΙΛΟΣ</w:t>
            </w:r>
          </w:p>
        </w:tc>
      </w:tr>
      <w:tr w:rsidR="003D4D14" w:rsidRPr="00D74877" w14:paraId="1F3AFE51" w14:textId="77777777" w:rsidTr="00EC54DE">
        <w:trPr>
          <w:trHeight w:val="300"/>
        </w:trPr>
        <w:tc>
          <w:tcPr>
            <w:tcW w:w="4641" w:type="dxa"/>
            <w:hideMark/>
          </w:tcPr>
          <w:p w14:paraId="53E6ED8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825" w:type="dxa"/>
            <w:tcBorders>
              <w:top w:val="single" w:sz="12" w:space="0" w:color="auto"/>
              <w:bottom w:val="nil"/>
            </w:tcBorders>
            <w:hideMark/>
          </w:tcPr>
          <w:p w14:paraId="5D33BA5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01.01-31.03.2024</w:t>
            </w:r>
          </w:p>
        </w:tc>
        <w:tc>
          <w:tcPr>
            <w:tcW w:w="2181" w:type="dxa"/>
            <w:tcBorders>
              <w:top w:val="single" w:sz="12" w:space="0" w:color="auto"/>
              <w:bottom w:val="nil"/>
            </w:tcBorders>
            <w:hideMark/>
          </w:tcPr>
          <w:p w14:paraId="2481B64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01.01-31.03.2023</w:t>
            </w:r>
          </w:p>
        </w:tc>
      </w:tr>
      <w:tr w:rsidR="003D4D14" w:rsidRPr="00D74877" w14:paraId="427F84EC" w14:textId="77777777" w:rsidTr="00EC54DE">
        <w:trPr>
          <w:trHeight w:val="285"/>
        </w:trPr>
        <w:tc>
          <w:tcPr>
            <w:tcW w:w="4641" w:type="dxa"/>
            <w:hideMark/>
          </w:tcPr>
          <w:p w14:paraId="353B1D3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825" w:type="dxa"/>
            <w:hideMark/>
          </w:tcPr>
          <w:p w14:paraId="37DC1B1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181" w:type="dxa"/>
            <w:hideMark/>
          </w:tcPr>
          <w:p w14:paraId="120770D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14738920" w14:textId="77777777" w:rsidTr="00EC54DE">
        <w:trPr>
          <w:trHeight w:val="600"/>
        </w:trPr>
        <w:tc>
          <w:tcPr>
            <w:tcW w:w="4641" w:type="dxa"/>
            <w:hideMark/>
          </w:tcPr>
          <w:p w14:paraId="311B35C4" w14:textId="77777777" w:rsidR="003D4D14" w:rsidRPr="003D4D14" w:rsidRDefault="003D4D14" w:rsidP="001B41E2">
            <w:pPr>
              <w:autoSpaceDE w:val="0"/>
              <w:autoSpaceDN w:val="0"/>
              <w:adjustRightInd w:val="0"/>
              <w:spacing w:after="160" w:line="259" w:lineRule="auto"/>
              <w:rPr>
                <w:rFonts w:ascii="Ping LCG Regular" w:hAnsi="Ping LCG Regular" w:cs="Calibri Light"/>
                <w:b/>
                <w:bCs/>
                <w:color w:val="000000"/>
                <w:sz w:val="20"/>
                <w:szCs w:val="20"/>
                <w:u w:val="single"/>
                <w:lang w:val="el-GR"/>
              </w:rPr>
            </w:pPr>
            <w:r w:rsidRPr="003D4D14">
              <w:rPr>
                <w:rFonts w:ascii="Ping LCG Regular" w:hAnsi="Ping LCG Regular" w:cs="Calibri Light"/>
                <w:b/>
                <w:bCs/>
                <w:color w:val="000000"/>
                <w:sz w:val="20"/>
                <w:szCs w:val="20"/>
                <w:u w:val="single"/>
                <w:lang w:val="el-GR"/>
              </w:rPr>
              <w:t>ΑΠΟΣΒΕΣΕΙΣ, ΚΑΘΑΡΕΣ ΧΡΗΜΑΤΟΟΙΚΟΝΟΜΙΚΕΣ ΔΑΠΑΝΕΣ, ΚΕΡΔΗ ΑΠΟ ΣΥΓΓΕΝΕΙΣ ΕΠΙΧΕΙΡΗΣΕΙΣ</w:t>
            </w:r>
          </w:p>
        </w:tc>
        <w:tc>
          <w:tcPr>
            <w:tcW w:w="1825" w:type="dxa"/>
            <w:hideMark/>
          </w:tcPr>
          <w:p w14:paraId="7BEA667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304,1</w:t>
            </w:r>
          </w:p>
        </w:tc>
        <w:tc>
          <w:tcPr>
            <w:tcW w:w="2181" w:type="dxa"/>
            <w:hideMark/>
          </w:tcPr>
          <w:p w14:paraId="6A6A8B6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207,3</w:t>
            </w:r>
          </w:p>
        </w:tc>
      </w:tr>
      <w:tr w:rsidR="003D4D14" w:rsidRPr="00D74877" w14:paraId="7F11D25F" w14:textId="77777777" w:rsidTr="00EC54DE">
        <w:trPr>
          <w:trHeight w:val="285"/>
        </w:trPr>
        <w:tc>
          <w:tcPr>
            <w:tcW w:w="4641" w:type="dxa"/>
            <w:hideMark/>
          </w:tcPr>
          <w:p w14:paraId="2F6050C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Αποσβέσεις </w:t>
            </w:r>
          </w:p>
        </w:tc>
        <w:tc>
          <w:tcPr>
            <w:tcW w:w="1825" w:type="dxa"/>
            <w:hideMark/>
          </w:tcPr>
          <w:p w14:paraId="1D07354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215,5</w:t>
            </w:r>
          </w:p>
        </w:tc>
        <w:tc>
          <w:tcPr>
            <w:tcW w:w="2181" w:type="dxa"/>
            <w:hideMark/>
          </w:tcPr>
          <w:p w14:paraId="38931ED0"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153,6</w:t>
            </w:r>
          </w:p>
        </w:tc>
      </w:tr>
      <w:tr w:rsidR="003D4D14" w:rsidRPr="00D74877" w14:paraId="3632F18B" w14:textId="77777777" w:rsidTr="00EC54DE">
        <w:trPr>
          <w:trHeight w:val="285"/>
        </w:trPr>
        <w:tc>
          <w:tcPr>
            <w:tcW w:w="4641" w:type="dxa"/>
            <w:hideMark/>
          </w:tcPr>
          <w:p w14:paraId="69C08B4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Χρηματοοικονομικά έξοδα</w:t>
            </w:r>
          </w:p>
        </w:tc>
        <w:tc>
          <w:tcPr>
            <w:tcW w:w="1825" w:type="dxa"/>
            <w:hideMark/>
          </w:tcPr>
          <w:p w14:paraId="1AAC444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126,9</w:t>
            </w:r>
          </w:p>
        </w:tc>
        <w:tc>
          <w:tcPr>
            <w:tcW w:w="2181" w:type="dxa"/>
            <w:hideMark/>
          </w:tcPr>
          <w:p w14:paraId="5DC3A8E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84,3</w:t>
            </w:r>
          </w:p>
        </w:tc>
      </w:tr>
      <w:tr w:rsidR="003D4D14" w:rsidRPr="00D74877" w14:paraId="7D89E7E0" w14:textId="77777777" w:rsidTr="00EC54DE">
        <w:trPr>
          <w:trHeight w:val="285"/>
        </w:trPr>
        <w:tc>
          <w:tcPr>
            <w:tcW w:w="4641" w:type="dxa"/>
            <w:hideMark/>
          </w:tcPr>
          <w:p w14:paraId="5B693C9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Χρηματοοικονομικά έσοδα</w:t>
            </w:r>
          </w:p>
        </w:tc>
        <w:tc>
          <w:tcPr>
            <w:tcW w:w="1825" w:type="dxa"/>
            <w:noWrap/>
            <w:hideMark/>
          </w:tcPr>
          <w:p w14:paraId="6F4701B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(38,0)</w:t>
            </w:r>
          </w:p>
        </w:tc>
        <w:tc>
          <w:tcPr>
            <w:tcW w:w="2181" w:type="dxa"/>
            <w:noWrap/>
            <w:hideMark/>
          </w:tcPr>
          <w:p w14:paraId="1219A98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(26,5)</w:t>
            </w:r>
          </w:p>
        </w:tc>
      </w:tr>
      <w:tr w:rsidR="003D4D14" w:rsidRPr="00D74877" w14:paraId="29BA93AD" w14:textId="77777777" w:rsidTr="00EC54DE">
        <w:trPr>
          <w:trHeight w:val="285"/>
        </w:trPr>
        <w:tc>
          <w:tcPr>
            <w:tcW w:w="4641" w:type="dxa"/>
            <w:hideMark/>
          </w:tcPr>
          <w:p w14:paraId="2E9166ED"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Καθαρό (κέρδος)/ζημία από συγγενείς επιχειρήσεις</w:t>
            </w:r>
          </w:p>
        </w:tc>
        <w:tc>
          <w:tcPr>
            <w:tcW w:w="1825" w:type="dxa"/>
            <w:noWrap/>
            <w:hideMark/>
          </w:tcPr>
          <w:p w14:paraId="1B2650F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3D4D14">
              <w:rPr>
                <w:rFonts w:ascii="Ping LCG Regular" w:hAnsi="Ping LCG Regular" w:cs="Calibri Light"/>
                <w:color w:val="000000"/>
                <w:sz w:val="20"/>
                <w:szCs w:val="20"/>
                <w:lang w:val="el-GR"/>
              </w:rPr>
              <w:t xml:space="preserve">                          </w:t>
            </w:r>
            <w:r w:rsidRPr="00D74877">
              <w:rPr>
                <w:rFonts w:ascii="Ping LCG Regular" w:hAnsi="Ping LCG Regular" w:cs="Calibri Light"/>
                <w:color w:val="000000"/>
                <w:sz w:val="20"/>
                <w:szCs w:val="20"/>
              </w:rPr>
              <w:t>0,2</w:t>
            </w:r>
          </w:p>
        </w:tc>
        <w:tc>
          <w:tcPr>
            <w:tcW w:w="2181" w:type="dxa"/>
            <w:noWrap/>
            <w:hideMark/>
          </w:tcPr>
          <w:p w14:paraId="27FCD66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(0,1)</w:t>
            </w:r>
          </w:p>
        </w:tc>
      </w:tr>
      <w:tr w:rsidR="003D4D14" w:rsidRPr="00D74877" w14:paraId="48CB3AF3" w14:textId="77777777" w:rsidTr="00EC54DE">
        <w:trPr>
          <w:trHeight w:val="261"/>
        </w:trPr>
        <w:tc>
          <w:tcPr>
            <w:tcW w:w="4641" w:type="dxa"/>
            <w:hideMark/>
          </w:tcPr>
          <w:p w14:paraId="75C00E4A"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Καθαρές ζημίες /(κέρδη) από συναλλαγματικές διαφορές</w:t>
            </w:r>
          </w:p>
        </w:tc>
        <w:tc>
          <w:tcPr>
            <w:tcW w:w="1825" w:type="dxa"/>
            <w:noWrap/>
            <w:hideMark/>
          </w:tcPr>
          <w:p w14:paraId="63F120C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3D4D14">
              <w:rPr>
                <w:rFonts w:ascii="Ping LCG Regular" w:hAnsi="Ping LCG Regular" w:cs="Calibri Light"/>
                <w:color w:val="000000"/>
                <w:sz w:val="20"/>
                <w:szCs w:val="20"/>
                <w:lang w:val="el-GR"/>
              </w:rPr>
              <w:t xml:space="preserve"> </w:t>
            </w:r>
            <w:r w:rsidRPr="00D74877">
              <w:rPr>
                <w:rFonts w:ascii="Ping LCG Regular" w:hAnsi="Ping LCG Regular" w:cs="Calibri Light"/>
                <w:color w:val="000000"/>
                <w:sz w:val="20"/>
                <w:szCs w:val="20"/>
              </w:rPr>
              <w:t xml:space="preserve">(0,5)                                    </w:t>
            </w:r>
          </w:p>
        </w:tc>
        <w:tc>
          <w:tcPr>
            <w:tcW w:w="2181" w:type="dxa"/>
            <w:hideMark/>
          </w:tcPr>
          <w:p w14:paraId="34840BF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(4,0)                                    </w:t>
            </w:r>
          </w:p>
        </w:tc>
      </w:tr>
    </w:tbl>
    <w:p w14:paraId="37A155AB"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TableGrid"/>
        <w:tblW w:w="876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402"/>
        <w:gridCol w:w="1513"/>
        <w:gridCol w:w="2039"/>
        <w:gridCol w:w="1815"/>
      </w:tblGrid>
      <w:tr w:rsidR="00E76D91" w:rsidRPr="00D74877" w14:paraId="6FACA2F9" w14:textId="77777777" w:rsidTr="00E76D91">
        <w:trPr>
          <w:trHeight w:val="326"/>
        </w:trPr>
        <w:tc>
          <w:tcPr>
            <w:tcW w:w="8769" w:type="dxa"/>
            <w:gridSpan w:val="4"/>
            <w:tcBorders>
              <w:top w:val="single" w:sz="12" w:space="0" w:color="auto"/>
            </w:tcBorders>
            <w:noWrap/>
            <w:hideMark/>
          </w:tcPr>
          <w:p w14:paraId="468B78F8" w14:textId="4525B105" w:rsidR="00E76D91" w:rsidRPr="00D74877" w:rsidRDefault="00E76D91" w:rsidP="00E76D91">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b/>
                <w:bCs/>
                <w:color w:val="000000"/>
                <w:sz w:val="20"/>
                <w:szCs w:val="20"/>
              </w:rPr>
              <w:lastRenderedPageBreak/>
              <w:t>ΠΙΝΑΚΑΣ ΣΤ: ΚΑΘΑΡΟΣ ΔΑΝΕΙΣΜΟΣ</w:t>
            </w:r>
          </w:p>
        </w:tc>
      </w:tr>
      <w:tr w:rsidR="003D4D14" w:rsidRPr="00D74877" w14:paraId="0B6BDAA8" w14:textId="77777777" w:rsidTr="00BC7423">
        <w:trPr>
          <w:trHeight w:val="295"/>
        </w:trPr>
        <w:tc>
          <w:tcPr>
            <w:tcW w:w="3402" w:type="dxa"/>
            <w:noWrap/>
            <w:hideMark/>
          </w:tcPr>
          <w:p w14:paraId="4CF52557" w14:textId="37A1A188"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(σε </w:t>
            </w:r>
            <w:r>
              <w:rPr>
                <w:rFonts w:ascii="Ping LCG Regular" w:hAnsi="Ping LCG Regular" w:cs="Calibri Light"/>
                <w:b/>
                <w:bCs/>
                <w:color w:val="000000"/>
                <w:sz w:val="20"/>
                <w:szCs w:val="20"/>
              </w:rPr>
              <w:t xml:space="preserve">€ </w:t>
            </w:r>
            <w:r w:rsidRPr="00D74877">
              <w:rPr>
                <w:rFonts w:ascii="Ping LCG Regular" w:hAnsi="Ping LCG Regular" w:cs="Calibri Light"/>
                <w:b/>
                <w:bCs/>
                <w:color w:val="000000"/>
                <w:sz w:val="20"/>
                <w:szCs w:val="20"/>
              </w:rPr>
              <w:t>εκατ.)</w:t>
            </w:r>
          </w:p>
        </w:tc>
        <w:tc>
          <w:tcPr>
            <w:tcW w:w="1513" w:type="dxa"/>
            <w:noWrap/>
            <w:hideMark/>
          </w:tcPr>
          <w:p w14:paraId="73A6503F"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3854" w:type="dxa"/>
            <w:gridSpan w:val="2"/>
            <w:noWrap/>
            <w:hideMark/>
          </w:tcPr>
          <w:p w14:paraId="4E61725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7EEF9F4D" w14:textId="77777777" w:rsidTr="00BC7423">
        <w:trPr>
          <w:trHeight w:val="310"/>
        </w:trPr>
        <w:tc>
          <w:tcPr>
            <w:tcW w:w="3402" w:type="dxa"/>
            <w:hideMark/>
          </w:tcPr>
          <w:p w14:paraId="4B02FAE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5367" w:type="dxa"/>
            <w:gridSpan w:val="3"/>
            <w:tcBorders>
              <w:bottom w:val="single" w:sz="12" w:space="0" w:color="auto"/>
            </w:tcBorders>
            <w:hideMark/>
          </w:tcPr>
          <w:p w14:paraId="4C5F4BE6"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Όμιλος</w:t>
            </w:r>
          </w:p>
        </w:tc>
      </w:tr>
      <w:tr w:rsidR="003D4D14" w:rsidRPr="00D74877" w14:paraId="6AC5685D" w14:textId="77777777" w:rsidTr="00E76D91">
        <w:trPr>
          <w:trHeight w:val="295"/>
        </w:trPr>
        <w:tc>
          <w:tcPr>
            <w:tcW w:w="3402" w:type="dxa"/>
            <w:hideMark/>
          </w:tcPr>
          <w:p w14:paraId="49BF4AA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513" w:type="dxa"/>
            <w:tcBorders>
              <w:top w:val="single" w:sz="12" w:space="0" w:color="auto"/>
              <w:bottom w:val="nil"/>
            </w:tcBorders>
            <w:hideMark/>
          </w:tcPr>
          <w:p w14:paraId="4A9ECD7E"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31.03.2024</w:t>
            </w:r>
          </w:p>
        </w:tc>
        <w:tc>
          <w:tcPr>
            <w:tcW w:w="2039" w:type="dxa"/>
            <w:tcBorders>
              <w:top w:val="single" w:sz="12" w:space="0" w:color="auto"/>
              <w:bottom w:val="nil"/>
              <w:right w:val="nil"/>
            </w:tcBorders>
            <w:hideMark/>
          </w:tcPr>
          <w:p w14:paraId="493E2DCB" w14:textId="77777777" w:rsidR="003D4D14" w:rsidRPr="00D74877" w:rsidRDefault="003D4D14" w:rsidP="00BC7423">
            <w:pPr>
              <w:tabs>
                <w:tab w:val="left" w:pos="1415"/>
              </w:tabs>
              <w:autoSpaceDE w:val="0"/>
              <w:autoSpaceDN w:val="0"/>
              <w:adjustRightInd w:val="0"/>
              <w:spacing w:after="160" w:line="259" w:lineRule="auto"/>
              <w:ind w:right="-94"/>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31.12.2023</w:t>
            </w:r>
            <w:r w:rsidRPr="00D74877">
              <w:rPr>
                <w:rFonts w:ascii="Ping LCG Regular" w:hAnsi="Ping LCG Regular" w:cs="Calibri Light"/>
                <w:b/>
                <w:bCs/>
                <w:color w:val="000000"/>
                <w:sz w:val="20"/>
                <w:szCs w:val="20"/>
              </w:rPr>
              <w:tab/>
            </w:r>
          </w:p>
          <w:p w14:paraId="716FA879"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639F211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31.03.2023</w:t>
            </w:r>
          </w:p>
        </w:tc>
      </w:tr>
      <w:tr w:rsidR="003D4D14" w:rsidRPr="00D74877" w14:paraId="5283BD1F" w14:textId="77777777" w:rsidTr="00E76D91">
        <w:trPr>
          <w:trHeight w:val="280"/>
        </w:trPr>
        <w:tc>
          <w:tcPr>
            <w:tcW w:w="3402" w:type="dxa"/>
            <w:hideMark/>
          </w:tcPr>
          <w:p w14:paraId="32419F0A"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r w:rsidRPr="00D74877">
              <w:rPr>
                <w:rFonts w:ascii="Ping LCG Regular" w:hAnsi="Ping LCG Regular" w:cs="Calibri Light"/>
                <w:color w:val="000000"/>
                <w:sz w:val="20"/>
                <w:szCs w:val="20"/>
              </w:rPr>
              <w:t>Μακροπρόθεσμος δανεισμός</w:t>
            </w:r>
          </w:p>
        </w:tc>
        <w:tc>
          <w:tcPr>
            <w:tcW w:w="1513" w:type="dxa"/>
            <w:tcBorders>
              <w:top w:val="nil"/>
            </w:tcBorders>
            <w:hideMark/>
          </w:tcPr>
          <w:p w14:paraId="1A7F01C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4.224,4</w:t>
            </w:r>
          </w:p>
        </w:tc>
        <w:tc>
          <w:tcPr>
            <w:tcW w:w="2039" w:type="dxa"/>
            <w:tcBorders>
              <w:top w:val="nil"/>
              <w:right w:val="nil"/>
            </w:tcBorders>
            <w:hideMark/>
          </w:tcPr>
          <w:p w14:paraId="1574CDAC" w14:textId="77777777" w:rsidR="003D4D14" w:rsidRPr="00D74877" w:rsidRDefault="003D4D14" w:rsidP="00BC7423">
            <w:pPr>
              <w:tabs>
                <w:tab w:val="left" w:pos="1202"/>
              </w:tabs>
              <w:autoSpaceDE w:val="0"/>
              <w:autoSpaceDN w:val="0"/>
              <w:adjustRightInd w:val="0"/>
              <w:spacing w:after="160" w:line="259" w:lineRule="auto"/>
              <w:ind w:right="-94"/>
              <w:rPr>
                <w:rFonts w:ascii="Ping LCG Regular" w:hAnsi="Ping LCG Regular" w:cs="Calibri Light"/>
                <w:color w:val="000000"/>
                <w:sz w:val="20"/>
                <w:szCs w:val="20"/>
              </w:rPr>
            </w:pPr>
            <w:r w:rsidRPr="00D74877">
              <w:rPr>
                <w:rFonts w:ascii="Ping LCG Regular" w:hAnsi="Ping LCG Regular" w:cs="Calibri Light"/>
                <w:color w:val="000000"/>
                <w:sz w:val="20"/>
                <w:szCs w:val="20"/>
              </w:rPr>
              <w:tab/>
              <w:t>4.419,8</w:t>
            </w:r>
          </w:p>
          <w:p w14:paraId="3D02FBCD"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3682C9C8"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3.895,0</w:t>
            </w:r>
          </w:p>
        </w:tc>
      </w:tr>
      <w:tr w:rsidR="003D4D14" w:rsidRPr="00D74877" w14:paraId="463FED26" w14:textId="77777777" w:rsidTr="00E76D91">
        <w:trPr>
          <w:trHeight w:val="280"/>
        </w:trPr>
        <w:tc>
          <w:tcPr>
            <w:tcW w:w="3402" w:type="dxa"/>
            <w:hideMark/>
          </w:tcPr>
          <w:p w14:paraId="22FB2255"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r w:rsidRPr="00D74877">
              <w:rPr>
                <w:rFonts w:ascii="Ping LCG Regular" w:hAnsi="Ping LCG Regular" w:cs="Calibri Light"/>
                <w:color w:val="000000"/>
                <w:sz w:val="20"/>
                <w:szCs w:val="20"/>
              </w:rPr>
              <w:t>Βραχυπρόθεσμο μέρος μακροπρόθεσμου δανεισμού</w:t>
            </w:r>
          </w:p>
        </w:tc>
        <w:tc>
          <w:tcPr>
            <w:tcW w:w="1513" w:type="dxa"/>
            <w:hideMark/>
          </w:tcPr>
          <w:p w14:paraId="1760E91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1.381,6</w:t>
            </w:r>
          </w:p>
        </w:tc>
        <w:tc>
          <w:tcPr>
            <w:tcW w:w="2039" w:type="dxa"/>
            <w:tcBorders>
              <w:right w:val="nil"/>
            </w:tcBorders>
            <w:hideMark/>
          </w:tcPr>
          <w:p w14:paraId="7BDA61B4"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1.180,4</w:t>
            </w:r>
          </w:p>
          <w:p w14:paraId="03E33480"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3E61BA9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515,1</w:t>
            </w:r>
          </w:p>
        </w:tc>
      </w:tr>
      <w:tr w:rsidR="003D4D14" w:rsidRPr="00D74877" w14:paraId="19BEE4AE" w14:textId="77777777" w:rsidTr="00E76D91">
        <w:trPr>
          <w:trHeight w:val="280"/>
        </w:trPr>
        <w:tc>
          <w:tcPr>
            <w:tcW w:w="3402" w:type="dxa"/>
            <w:hideMark/>
          </w:tcPr>
          <w:p w14:paraId="1D79B0C9"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r w:rsidRPr="00D74877">
              <w:rPr>
                <w:rFonts w:ascii="Ping LCG Regular" w:hAnsi="Ping LCG Regular" w:cs="Calibri Light"/>
                <w:color w:val="000000"/>
                <w:sz w:val="20"/>
                <w:szCs w:val="20"/>
              </w:rPr>
              <w:t>Βραχυπρόθεσμος δανεισμός</w:t>
            </w:r>
          </w:p>
        </w:tc>
        <w:tc>
          <w:tcPr>
            <w:tcW w:w="1513" w:type="dxa"/>
            <w:hideMark/>
          </w:tcPr>
          <w:p w14:paraId="607FCAA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319,0</w:t>
            </w:r>
          </w:p>
        </w:tc>
        <w:tc>
          <w:tcPr>
            <w:tcW w:w="2039" w:type="dxa"/>
            <w:tcBorders>
              <w:right w:val="nil"/>
            </w:tcBorders>
            <w:hideMark/>
          </w:tcPr>
          <w:p w14:paraId="218EA5B7"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240,8</w:t>
            </w:r>
          </w:p>
          <w:p w14:paraId="78781BAB"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32CA662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87,6</w:t>
            </w:r>
          </w:p>
        </w:tc>
      </w:tr>
      <w:tr w:rsidR="003D4D14" w:rsidRPr="00D74877" w14:paraId="36B2C728" w14:textId="77777777" w:rsidTr="00E76D91">
        <w:trPr>
          <w:trHeight w:val="280"/>
        </w:trPr>
        <w:tc>
          <w:tcPr>
            <w:tcW w:w="3402" w:type="dxa"/>
            <w:hideMark/>
          </w:tcPr>
          <w:p w14:paraId="4B57A540"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r w:rsidRPr="00D74877">
              <w:rPr>
                <w:rFonts w:ascii="Ping LCG Regular" w:hAnsi="Ping LCG Regular" w:cs="Calibri Light"/>
                <w:color w:val="000000"/>
                <w:sz w:val="20"/>
                <w:szCs w:val="20"/>
              </w:rPr>
              <w:t>Χρηματικά διαθέσιμα</w:t>
            </w:r>
          </w:p>
        </w:tc>
        <w:tc>
          <w:tcPr>
            <w:tcW w:w="1513" w:type="dxa"/>
            <w:noWrap/>
            <w:hideMark/>
          </w:tcPr>
          <w:p w14:paraId="7C6B715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(2.474,2)                                  </w:t>
            </w:r>
          </w:p>
        </w:tc>
        <w:tc>
          <w:tcPr>
            <w:tcW w:w="2039" w:type="dxa"/>
            <w:tcBorders>
              <w:right w:val="nil"/>
            </w:tcBorders>
            <w:noWrap/>
            <w:hideMark/>
          </w:tcPr>
          <w:p w14:paraId="40E943A5"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(2.599,8)</w:t>
            </w:r>
          </w:p>
        </w:tc>
        <w:tc>
          <w:tcPr>
            <w:tcW w:w="1815" w:type="dxa"/>
            <w:tcBorders>
              <w:top w:val="nil"/>
              <w:left w:val="nil"/>
              <w:bottom w:val="nil"/>
              <w:right w:val="single" w:sz="12" w:space="0" w:color="auto"/>
            </w:tcBorders>
          </w:tcPr>
          <w:p w14:paraId="4FD4EDC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(2.461,9)                                  </w:t>
            </w:r>
          </w:p>
        </w:tc>
      </w:tr>
      <w:tr w:rsidR="003D4D14" w:rsidRPr="00D74877" w14:paraId="0B867C1C" w14:textId="77777777" w:rsidTr="00E76D91">
        <w:trPr>
          <w:trHeight w:val="375"/>
        </w:trPr>
        <w:tc>
          <w:tcPr>
            <w:tcW w:w="3402" w:type="dxa"/>
            <w:hideMark/>
          </w:tcPr>
          <w:p w14:paraId="038F1789"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r w:rsidRPr="00D74877">
              <w:rPr>
                <w:rFonts w:ascii="Ping LCG Regular" w:hAnsi="Ping LCG Regular" w:cs="Calibri Light"/>
                <w:color w:val="000000"/>
                <w:sz w:val="20"/>
                <w:szCs w:val="20"/>
              </w:rPr>
              <w:t>Δεσμευμένες Καταθέσεις</w:t>
            </w:r>
          </w:p>
        </w:tc>
        <w:tc>
          <w:tcPr>
            <w:tcW w:w="1513" w:type="dxa"/>
            <w:noWrap/>
            <w:hideMark/>
          </w:tcPr>
          <w:p w14:paraId="2386999E" w14:textId="4250D16B"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(151,6)</w:t>
            </w:r>
          </w:p>
        </w:tc>
        <w:tc>
          <w:tcPr>
            <w:tcW w:w="2039" w:type="dxa"/>
            <w:tcBorders>
              <w:right w:val="nil"/>
            </w:tcBorders>
            <w:noWrap/>
            <w:hideMark/>
          </w:tcPr>
          <w:p w14:paraId="7DC01ABC"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(154,4)</w:t>
            </w:r>
          </w:p>
        </w:tc>
        <w:tc>
          <w:tcPr>
            <w:tcW w:w="1815" w:type="dxa"/>
            <w:tcBorders>
              <w:top w:val="nil"/>
              <w:left w:val="nil"/>
              <w:bottom w:val="nil"/>
              <w:right w:val="single" w:sz="12" w:space="0" w:color="auto"/>
            </w:tcBorders>
          </w:tcPr>
          <w:p w14:paraId="4DCEA46B" w14:textId="77777777" w:rsidR="003D4D14" w:rsidRPr="00D74877" w:rsidRDefault="003D4D14" w:rsidP="00BC7423">
            <w:pPr>
              <w:autoSpaceDE w:val="0"/>
              <w:autoSpaceDN w:val="0"/>
              <w:adjustRightInd w:val="0"/>
              <w:spacing w:after="160" w:line="259" w:lineRule="auto"/>
              <w:ind w:left="1155"/>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(77,1)</w:t>
            </w:r>
          </w:p>
        </w:tc>
      </w:tr>
      <w:tr w:rsidR="003D4D14" w:rsidRPr="00D74877" w14:paraId="0A7C54C4" w14:textId="77777777" w:rsidTr="00E76D91">
        <w:trPr>
          <w:trHeight w:val="562"/>
        </w:trPr>
        <w:tc>
          <w:tcPr>
            <w:tcW w:w="3402" w:type="dxa"/>
            <w:hideMark/>
          </w:tcPr>
          <w:p w14:paraId="4153EC7A" w14:textId="77777777" w:rsidR="003D4D14" w:rsidRPr="003D4D14" w:rsidRDefault="003D4D14" w:rsidP="00BC7423">
            <w:pPr>
              <w:autoSpaceDE w:val="0"/>
              <w:autoSpaceDN w:val="0"/>
              <w:adjustRightInd w:val="0"/>
              <w:spacing w:after="160" w:line="259" w:lineRule="auto"/>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Χρηματοοικονομικά περιουσιακά στοιχεία επιμετρούμενα στην εύλογη αξία μέσω των συνολικών αποτελεσμάτων</w:t>
            </w:r>
          </w:p>
        </w:tc>
        <w:tc>
          <w:tcPr>
            <w:tcW w:w="1513" w:type="dxa"/>
            <w:noWrap/>
            <w:hideMark/>
          </w:tcPr>
          <w:p w14:paraId="4BA3E7E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(0,3)                                       </w:t>
            </w:r>
          </w:p>
        </w:tc>
        <w:tc>
          <w:tcPr>
            <w:tcW w:w="2039" w:type="dxa"/>
            <w:tcBorders>
              <w:right w:val="nil"/>
            </w:tcBorders>
            <w:noWrap/>
            <w:hideMark/>
          </w:tcPr>
          <w:p w14:paraId="6A044BC0"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(0,3)</w:t>
            </w:r>
          </w:p>
        </w:tc>
        <w:tc>
          <w:tcPr>
            <w:tcW w:w="1815" w:type="dxa"/>
            <w:tcBorders>
              <w:top w:val="nil"/>
              <w:left w:val="nil"/>
              <w:bottom w:val="nil"/>
              <w:right w:val="single" w:sz="12" w:space="0" w:color="auto"/>
            </w:tcBorders>
          </w:tcPr>
          <w:p w14:paraId="41DB05D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(0,3)                                       </w:t>
            </w:r>
          </w:p>
        </w:tc>
      </w:tr>
      <w:tr w:rsidR="003D4D14" w:rsidRPr="00D74877" w14:paraId="55F9C5ED" w14:textId="77777777" w:rsidTr="00E76D91">
        <w:trPr>
          <w:trHeight w:val="280"/>
        </w:trPr>
        <w:tc>
          <w:tcPr>
            <w:tcW w:w="3402" w:type="dxa"/>
            <w:hideMark/>
          </w:tcPr>
          <w:p w14:paraId="5ECC8B23"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Αναπόσβεστο μέρος εξόδων σύναψης δανείων</w:t>
            </w:r>
          </w:p>
        </w:tc>
        <w:tc>
          <w:tcPr>
            <w:tcW w:w="1513" w:type="dxa"/>
            <w:hideMark/>
          </w:tcPr>
          <w:p w14:paraId="6802B6C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highlight w:val="yellow"/>
              </w:rPr>
            </w:pPr>
            <w:r w:rsidRPr="00D74877">
              <w:rPr>
                <w:rFonts w:ascii="Ping LCG Regular" w:hAnsi="Ping LCG Regular" w:cs="Calibri Light"/>
                <w:color w:val="000000"/>
                <w:sz w:val="20"/>
                <w:szCs w:val="20"/>
              </w:rPr>
              <w:t>77,5</w:t>
            </w:r>
          </w:p>
        </w:tc>
        <w:tc>
          <w:tcPr>
            <w:tcW w:w="2039" w:type="dxa"/>
            <w:tcBorders>
              <w:right w:val="nil"/>
            </w:tcBorders>
            <w:hideMark/>
          </w:tcPr>
          <w:p w14:paraId="4B2B9E54"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81,5</w:t>
            </w:r>
          </w:p>
        </w:tc>
        <w:tc>
          <w:tcPr>
            <w:tcW w:w="1815" w:type="dxa"/>
            <w:tcBorders>
              <w:top w:val="nil"/>
              <w:left w:val="nil"/>
              <w:bottom w:val="nil"/>
              <w:right w:val="single" w:sz="12" w:space="0" w:color="auto"/>
            </w:tcBorders>
          </w:tcPr>
          <w:p w14:paraId="6365DDC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72,0</w:t>
            </w:r>
          </w:p>
        </w:tc>
      </w:tr>
      <w:tr w:rsidR="003D4D14" w:rsidRPr="00D74877" w14:paraId="193C366D" w14:textId="77777777" w:rsidTr="00E76D91">
        <w:trPr>
          <w:trHeight w:val="310"/>
        </w:trPr>
        <w:tc>
          <w:tcPr>
            <w:tcW w:w="3402" w:type="dxa"/>
            <w:tcBorders>
              <w:bottom w:val="single" w:sz="12" w:space="0" w:color="auto"/>
            </w:tcBorders>
            <w:hideMark/>
          </w:tcPr>
          <w:p w14:paraId="6A2AFC7F"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ΣΥΝΟΛΟ</w:t>
            </w:r>
          </w:p>
        </w:tc>
        <w:tc>
          <w:tcPr>
            <w:tcW w:w="1513" w:type="dxa"/>
            <w:tcBorders>
              <w:bottom w:val="single" w:sz="12" w:space="0" w:color="auto"/>
            </w:tcBorders>
            <w:hideMark/>
          </w:tcPr>
          <w:p w14:paraId="0E25877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3.376,4</w:t>
            </w:r>
          </w:p>
        </w:tc>
        <w:tc>
          <w:tcPr>
            <w:tcW w:w="2039" w:type="dxa"/>
            <w:tcBorders>
              <w:bottom w:val="single" w:sz="12" w:space="0" w:color="auto"/>
              <w:right w:val="nil"/>
            </w:tcBorders>
            <w:hideMark/>
          </w:tcPr>
          <w:p w14:paraId="50CA3585"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3.167,8</w:t>
            </w:r>
          </w:p>
        </w:tc>
        <w:tc>
          <w:tcPr>
            <w:tcW w:w="1815" w:type="dxa"/>
            <w:tcBorders>
              <w:top w:val="nil"/>
              <w:left w:val="nil"/>
              <w:bottom w:val="single" w:sz="12" w:space="0" w:color="auto"/>
              <w:right w:val="single" w:sz="12" w:space="0" w:color="auto"/>
            </w:tcBorders>
          </w:tcPr>
          <w:p w14:paraId="78741AF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2.030,4</w:t>
            </w:r>
          </w:p>
        </w:tc>
      </w:tr>
    </w:tbl>
    <w:p w14:paraId="3600B742"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p w14:paraId="32C78D80" w14:textId="77777777" w:rsidR="00585A7A" w:rsidRPr="00704014" w:rsidRDefault="00585A7A" w:rsidP="00704014">
      <w:pPr>
        <w:rPr>
          <w:rFonts w:ascii="Ping LCG Regular" w:eastAsia="Calibri" w:hAnsi="Ping LCG Regular" w:cs="Arial"/>
          <w:sz w:val="20"/>
          <w:szCs w:val="20"/>
          <w:lang w:val="el-GR"/>
        </w:rPr>
      </w:pPr>
    </w:p>
    <w:sectPr w:rsidR="00585A7A" w:rsidRPr="00704014" w:rsidSect="00040330">
      <w:headerReference w:type="even" r:id="rId17"/>
      <w:headerReference w:type="default" r:id="rId18"/>
      <w:footerReference w:type="even" r:id="rId19"/>
      <w:footerReference w:type="default" r:id="rId20"/>
      <w:headerReference w:type="first" r:id="rId21"/>
      <w:footerReference w:type="first" r:id="rId22"/>
      <w:pgSz w:w="11900" w:h="16840"/>
      <w:pgMar w:top="1701" w:right="1694" w:bottom="709" w:left="1560" w:header="0"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2B11" w14:textId="77777777" w:rsidR="003D7403" w:rsidRDefault="003D7403" w:rsidP="0054172F">
      <w:r>
        <w:separator/>
      </w:r>
    </w:p>
  </w:endnote>
  <w:endnote w:type="continuationSeparator" w:id="0">
    <w:p w14:paraId="12D3AD55" w14:textId="77777777" w:rsidR="003D7403" w:rsidRDefault="003D7403" w:rsidP="0054172F">
      <w:r>
        <w:continuationSeparator/>
      </w:r>
    </w:p>
  </w:endnote>
  <w:endnote w:type="continuationNotice" w:id="1">
    <w:p w14:paraId="5DF20210" w14:textId="77777777" w:rsidR="003D7403" w:rsidRDefault="003D7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 LCG Regular">
    <w:panose1 w:val="00000000000000000000"/>
    <w:charset w:val="00"/>
    <w:family w:val="modern"/>
    <w:notTrueType/>
    <w:pitch w:val="variable"/>
    <w:sig w:usb0="E00002FF" w:usb1="5001E47B"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490327"/>
      <w:docPartObj>
        <w:docPartGallery w:val="Page Numbers (Bottom of Page)"/>
        <w:docPartUnique/>
      </w:docPartObj>
    </w:sdtPr>
    <w:sdtEndPr>
      <w:rPr>
        <w:rStyle w:val="PageNumber"/>
      </w:rPr>
    </w:sdtEndPr>
    <w:sdtContent>
      <w:p w14:paraId="634B7564" w14:textId="1081F108" w:rsidR="00277187" w:rsidRDefault="00277187" w:rsidP="00C300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8097A" w14:textId="77777777" w:rsidR="00277187" w:rsidRDefault="00277187" w:rsidP="0027718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ing LCG Regular" w:hAnsi="Ping LCG Regular"/>
        <w:sz w:val="16"/>
        <w:szCs w:val="16"/>
      </w:rPr>
      <w:id w:val="-472456482"/>
      <w:docPartObj>
        <w:docPartGallery w:val="Page Numbers (Bottom of Page)"/>
        <w:docPartUnique/>
      </w:docPartObj>
    </w:sdtPr>
    <w:sdtEndPr>
      <w:rPr>
        <w:rStyle w:val="PageNumber"/>
      </w:rPr>
    </w:sdtEndPr>
    <w:sdtContent>
      <w:p w14:paraId="44C738F4" w14:textId="7C5B8C9F" w:rsidR="00277187" w:rsidRPr="00277187" w:rsidRDefault="00277187" w:rsidP="00F5169D">
        <w:pPr>
          <w:pStyle w:val="Footer"/>
          <w:framePr w:w="561" w:wrap="notBeside" w:vAnchor="page" w:hAnchor="page" w:x="10601" w:y="16267"/>
          <w:jc w:val="right"/>
          <w:rPr>
            <w:rStyle w:val="PageNumber"/>
            <w:rFonts w:ascii="Ping LCG Regular" w:hAnsi="Ping LCG Regular"/>
            <w:sz w:val="16"/>
            <w:szCs w:val="16"/>
          </w:rPr>
        </w:pPr>
        <w:r w:rsidRPr="00277187">
          <w:rPr>
            <w:rStyle w:val="PageNumber"/>
            <w:rFonts w:ascii="Ping LCG Regular" w:hAnsi="Ping LCG Regular"/>
            <w:sz w:val="16"/>
            <w:szCs w:val="16"/>
          </w:rPr>
          <w:fldChar w:fldCharType="begin"/>
        </w:r>
        <w:r w:rsidRPr="00277187">
          <w:rPr>
            <w:rStyle w:val="PageNumber"/>
            <w:rFonts w:ascii="Ping LCG Regular" w:hAnsi="Ping LCG Regular"/>
            <w:sz w:val="16"/>
            <w:szCs w:val="16"/>
          </w:rPr>
          <w:instrText xml:space="preserve"> PAGE </w:instrText>
        </w:r>
        <w:r w:rsidRPr="00277187">
          <w:rPr>
            <w:rStyle w:val="PageNumber"/>
            <w:rFonts w:ascii="Ping LCG Regular" w:hAnsi="Ping LCG Regular"/>
            <w:sz w:val="16"/>
            <w:szCs w:val="16"/>
          </w:rPr>
          <w:fldChar w:fldCharType="separate"/>
        </w:r>
        <w:r w:rsidRPr="00277187">
          <w:rPr>
            <w:rStyle w:val="PageNumber"/>
            <w:rFonts w:ascii="Ping LCG Regular" w:hAnsi="Ping LCG Regular"/>
            <w:noProof/>
            <w:sz w:val="16"/>
            <w:szCs w:val="16"/>
          </w:rPr>
          <w:t>2</w:t>
        </w:r>
        <w:r w:rsidRPr="00277187">
          <w:rPr>
            <w:rStyle w:val="PageNumber"/>
            <w:rFonts w:ascii="Ping LCG Regular" w:hAnsi="Ping LCG Regular"/>
            <w:sz w:val="16"/>
            <w:szCs w:val="16"/>
          </w:rPr>
          <w:fldChar w:fldCharType="end"/>
        </w:r>
      </w:p>
    </w:sdtContent>
  </w:sdt>
  <w:p w14:paraId="4A55A45F" w14:textId="2389305F" w:rsidR="00351929" w:rsidRPr="00F95A9D" w:rsidRDefault="007D4ABD" w:rsidP="00C30099">
    <w:pPr>
      <w:pStyle w:val="Footer"/>
      <w:ind w:firstLine="360"/>
      <w:rPr>
        <w:lang w:val="el-GR"/>
      </w:rPr>
    </w:pPr>
    <w:r>
      <w:rPr>
        <w:noProof/>
      </w:rPr>
      <w:drawing>
        <wp:anchor distT="0" distB="0" distL="114300" distR="114300" simplePos="0" relativeHeight="251658240" behindDoc="1" locked="0" layoutInCell="1" allowOverlap="1" wp14:anchorId="61116468" wp14:editId="416EB391">
          <wp:simplePos x="0" y="0"/>
          <wp:positionH relativeFrom="page">
            <wp:posOffset>0</wp:posOffset>
          </wp:positionH>
          <wp:positionV relativeFrom="page">
            <wp:posOffset>9829165</wp:posOffset>
          </wp:positionV>
          <wp:extent cx="7560000" cy="864000"/>
          <wp:effectExtent l="0" t="0" r="0" b="0"/>
          <wp:wrapNone/>
          <wp:docPr id="246323595" name="Picture 2463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412" name="Picture 1032079412"/>
                  <pic:cNvPicPr/>
                </pic:nvPicPr>
                <pic:blipFill>
                  <a:blip r:embed="rId1">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C8E" w14:textId="51F378C7" w:rsidR="001B100F" w:rsidRDefault="007D4ABD" w:rsidP="00277187">
    <w:pPr>
      <w:pStyle w:val="Footer"/>
      <w:ind w:firstLine="360"/>
    </w:pPr>
    <w:r>
      <w:rPr>
        <w:noProof/>
      </w:rPr>
      <w:drawing>
        <wp:anchor distT="0" distB="0" distL="114300" distR="114300" simplePos="0" relativeHeight="251655168" behindDoc="1" locked="0" layoutInCell="1" allowOverlap="1" wp14:anchorId="046D5A3D" wp14:editId="47A18B4F">
          <wp:simplePos x="0" y="0"/>
          <wp:positionH relativeFrom="page">
            <wp:posOffset>0</wp:posOffset>
          </wp:positionH>
          <wp:positionV relativeFrom="page">
            <wp:posOffset>9829165</wp:posOffset>
          </wp:positionV>
          <wp:extent cx="7560000" cy="864000"/>
          <wp:effectExtent l="0" t="0" r="0" b="0"/>
          <wp:wrapNone/>
          <wp:docPr id="1032079412" name="Picture 103207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412" name="Picture 1032079412"/>
                  <pic:cNvPicPr/>
                </pic:nvPicPr>
                <pic:blipFill>
                  <a:blip r:embed="rId1">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B581" w14:textId="77777777" w:rsidR="003D7403" w:rsidRDefault="003D7403" w:rsidP="0054172F">
      <w:r>
        <w:separator/>
      </w:r>
    </w:p>
  </w:footnote>
  <w:footnote w:type="continuationSeparator" w:id="0">
    <w:p w14:paraId="3B5478E4" w14:textId="77777777" w:rsidR="003D7403" w:rsidRDefault="003D7403" w:rsidP="0054172F">
      <w:r>
        <w:continuationSeparator/>
      </w:r>
    </w:p>
  </w:footnote>
  <w:footnote w:type="continuationNotice" w:id="1">
    <w:p w14:paraId="71132E67" w14:textId="77777777" w:rsidR="003D7403" w:rsidRDefault="003D7403"/>
  </w:footnote>
  <w:footnote w:id="2">
    <w:p w14:paraId="38211CEE" w14:textId="1D643588" w:rsidR="007E3909" w:rsidRPr="007E3909" w:rsidRDefault="007E3909">
      <w:pPr>
        <w:pStyle w:val="FootnoteText"/>
        <w:rPr>
          <w:lang w:val="el-GR"/>
        </w:rPr>
      </w:pPr>
      <w:r>
        <w:rPr>
          <w:rStyle w:val="FootnoteReference"/>
        </w:rPr>
        <w:footnoteRef/>
      </w:r>
      <w:r w:rsidRPr="007E3909">
        <w:rPr>
          <w:lang w:val="el-GR"/>
        </w:rPr>
        <w:t xml:space="preserve"> </w:t>
      </w:r>
      <w:r w:rsidRPr="006A0C71">
        <w:rPr>
          <w:sz w:val="18"/>
          <w:szCs w:val="18"/>
          <w:lang w:val="el-GR"/>
        </w:rPr>
        <w:t xml:space="preserve">Με </w:t>
      </w:r>
      <w:r w:rsidRPr="0007354E">
        <w:rPr>
          <w:sz w:val="18"/>
          <w:szCs w:val="18"/>
          <w:lang w:val="el-GR"/>
        </w:rPr>
        <w:t>βάση εκτίμηση της ΔΕΗ</w:t>
      </w:r>
    </w:p>
  </w:footnote>
  <w:footnote w:id="3">
    <w:p w14:paraId="7B3071BC" w14:textId="19C3F26F" w:rsidR="00467C62" w:rsidRPr="00467C62" w:rsidRDefault="00467C62">
      <w:pPr>
        <w:pStyle w:val="FootnoteText"/>
        <w:rPr>
          <w:lang w:val="el-GR"/>
        </w:rPr>
      </w:pPr>
      <w:r>
        <w:rPr>
          <w:rStyle w:val="FootnoteReference"/>
        </w:rPr>
        <w:footnoteRef/>
      </w:r>
      <w:r w:rsidRPr="00467C62">
        <w:rPr>
          <w:lang w:val="el-GR"/>
        </w:rPr>
        <w:t xml:space="preserve"> </w:t>
      </w:r>
      <w:r w:rsidRPr="005D1D80">
        <w:rPr>
          <w:sz w:val="18"/>
          <w:szCs w:val="18"/>
          <w:lang w:val="el-GR"/>
        </w:rPr>
        <w:t xml:space="preserve">Με βάση τα στοιχεία της </w:t>
      </w:r>
      <w:r w:rsidRPr="005D1D80">
        <w:rPr>
          <w:sz w:val="18"/>
          <w:szCs w:val="18"/>
        </w:rPr>
        <w:t>Transelectrica</w:t>
      </w:r>
      <w:r w:rsidRPr="005D1D80">
        <w:rPr>
          <w:sz w:val="18"/>
          <w:szCs w:val="18"/>
          <w:lang w:val="el-GR"/>
        </w:rPr>
        <w:t xml:space="preserve">  </w:t>
      </w:r>
    </w:p>
  </w:footnote>
  <w:footnote w:id="4">
    <w:p w14:paraId="117D0A6B" w14:textId="77777777" w:rsidR="00145FF1" w:rsidRPr="005D1D80" w:rsidRDefault="00145FF1" w:rsidP="00145FF1">
      <w:pPr>
        <w:pStyle w:val="FootnoteText"/>
        <w:rPr>
          <w:sz w:val="18"/>
          <w:szCs w:val="18"/>
          <w:lang w:val="el-GR"/>
        </w:rPr>
      </w:pPr>
      <w:r w:rsidRPr="005D1D80">
        <w:rPr>
          <w:rStyle w:val="FootnoteReference"/>
          <w:sz w:val="18"/>
          <w:szCs w:val="18"/>
        </w:rPr>
        <w:footnoteRef/>
      </w:r>
      <w:r w:rsidRPr="005D1D80">
        <w:rPr>
          <w:sz w:val="18"/>
          <w:szCs w:val="18"/>
          <w:lang w:val="el-GR"/>
        </w:rPr>
        <w:t xml:space="preserve"> </w:t>
      </w:r>
      <w:r w:rsidRPr="005D1D80">
        <w:rPr>
          <w:sz w:val="18"/>
          <w:szCs w:val="18"/>
        </w:rPr>
        <w:t>M</w:t>
      </w:r>
      <w:r w:rsidRPr="005D1D80">
        <w:rPr>
          <w:sz w:val="18"/>
          <w:szCs w:val="18"/>
          <w:lang w:val="el-GR"/>
        </w:rPr>
        <w:t>ε βάση τα στοιχεία του Ομίλου Χρηματιστηρίου Ενέργειας (</w:t>
      </w:r>
      <w:r w:rsidRPr="005D1D80">
        <w:rPr>
          <w:sz w:val="18"/>
          <w:szCs w:val="18"/>
        </w:rPr>
        <w:t>EnEx</w:t>
      </w:r>
      <w:r w:rsidRPr="005D1D80">
        <w:rPr>
          <w:sz w:val="18"/>
          <w:szCs w:val="18"/>
          <w:lang w:val="el-GR"/>
        </w:rPr>
        <w:t>)</w:t>
      </w:r>
    </w:p>
  </w:footnote>
  <w:footnote w:id="5">
    <w:p w14:paraId="59528CAC" w14:textId="77777777" w:rsidR="00714B60" w:rsidRPr="00CB298A" w:rsidRDefault="00714B60" w:rsidP="00714B60">
      <w:pPr>
        <w:pStyle w:val="FootnoteText"/>
        <w:rPr>
          <w:lang w:val="el-GR"/>
        </w:rPr>
      </w:pPr>
      <w:r w:rsidRPr="005D1D80">
        <w:rPr>
          <w:rStyle w:val="FootnoteReference"/>
        </w:rPr>
        <w:footnoteRef/>
      </w:r>
      <w:r w:rsidRPr="005D1D80">
        <w:rPr>
          <w:lang w:val="el-GR"/>
        </w:rPr>
        <w:t xml:space="preserve"> </w:t>
      </w:r>
      <w:r w:rsidRPr="005D1D80">
        <w:rPr>
          <w:sz w:val="18"/>
          <w:szCs w:val="18"/>
          <w:lang w:val="el-GR"/>
        </w:rPr>
        <w:t xml:space="preserve">Με βάση τα στοιχεία της </w:t>
      </w:r>
      <w:r w:rsidRPr="005D1D80">
        <w:rPr>
          <w:sz w:val="18"/>
          <w:szCs w:val="18"/>
        </w:rPr>
        <w:t>Transelectrica</w:t>
      </w:r>
      <w:r w:rsidRPr="007E156C">
        <w:rPr>
          <w:sz w:val="18"/>
          <w:szCs w:val="18"/>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6EF" w14:textId="5C03BB37" w:rsidR="0054172F" w:rsidRDefault="003D7403">
    <w:pPr>
      <w:pStyle w:val="Header"/>
    </w:pPr>
    <w:r>
      <w:rPr>
        <w:noProof/>
      </w:rPr>
      <w:pict w14:anchorId="1632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270" o:spid="_x0000_s1025" type="#_x0000_t75" alt="/Volumes/BriefMe_06/005-DDB/2020/113-DEH/035-PressRealesa/Telikes_Maketes/Press-Release 21x29,7cm-01-72ppi.jpg" style="position:absolute;margin-left:0;margin-top:0;width:297.5pt;height:421pt;z-index:-251656192;mso-wrap-edited:f;mso-position-horizontal:center;mso-position-horizontal-relative:margin;mso-position-vertical:center;mso-position-vertical-relative:margin" o:allowincell="f">
          <v:imagedata r:id="rId1" o:title="Press-Release 21x29,7cm-01-72pp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A6BE" w14:textId="5D52AC1C" w:rsidR="0014283C" w:rsidRDefault="0014283C" w:rsidP="0014283C">
    <w:pPr>
      <w:pStyle w:val="Header"/>
      <w:tabs>
        <w:tab w:val="left" w:pos="2268"/>
      </w:tabs>
    </w:pPr>
  </w:p>
  <w:p w14:paraId="6210AD1C" w14:textId="2B14E096" w:rsidR="0054172F" w:rsidRDefault="00714C8B" w:rsidP="00504205">
    <w:pPr>
      <w:pStyle w:val="Header"/>
    </w:pPr>
    <w:r>
      <w:rPr>
        <w:noProof/>
      </w:rPr>
      <w:drawing>
        <wp:anchor distT="0" distB="0" distL="114300" distR="114300" simplePos="0" relativeHeight="251659264" behindDoc="1" locked="0" layoutInCell="1" allowOverlap="1" wp14:anchorId="5AF8ACC3" wp14:editId="5AB79B25">
          <wp:simplePos x="0" y="0"/>
          <wp:positionH relativeFrom="page">
            <wp:posOffset>0</wp:posOffset>
          </wp:positionH>
          <wp:positionV relativeFrom="page">
            <wp:posOffset>0</wp:posOffset>
          </wp:positionV>
          <wp:extent cx="7560000" cy="864000"/>
          <wp:effectExtent l="0" t="0" r="0" b="0"/>
          <wp:wrapNone/>
          <wp:docPr id="326378000" name="Picture 3263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412" name="Picture 1032079412"/>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BD0F" w14:textId="118B1E06" w:rsidR="0054172F" w:rsidRDefault="007D4ABD">
    <w:pPr>
      <w:pStyle w:val="Header"/>
    </w:pPr>
    <w:r>
      <w:rPr>
        <w:noProof/>
      </w:rPr>
      <w:drawing>
        <wp:anchor distT="0" distB="0" distL="114300" distR="114300" simplePos="0" relativeHeight="251657216" behindDoc="1" locked="0" layoutInCell="1" allowOverlap="1" wp14:anchorId="66E17425" wp14:editId="67E5D45A">
          <wp:simplePos x="0" y="0"/>
          <wp:positionH relativeFrom="page">
            <wp:posOffset>464095</wp:posOffset>
          </wp:positionH>
          <wp:positionV relativeFrom="page">
            <wp:posOffset>850</wp:posOffset>
          </wp:positionV>
          <wp:extent cx="2895600" cy="18415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2895600" cy="184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2C61E0E4" wp14:editId="71E27710">
          <wp:simplePos x="0" y="0"/>
          <wp:positionH relativeFrom="page">
            <wp:posOffset>0</wp:posOffset>
          </wp:positionH>
          <wp:positionV relativeFrom="page">
            <wp:posOffset>0</wp:posOffset>
          </wp:positionV>
          <wp:extent cx="7560000" cy="1746000"/>
          <wp:effectExtent l="0" t="0" r="0" b="0"/>
          <wp:wrapNone/>
          <wp:docPr id="827043429" name="Picture 827043429" descr="A blurry orange and yellow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7043429" name="Picture 1" descr="A blurry orange and yellow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BC"/>
    <w:multiLevelType w:val="hybridMultilevel"/>
    <w:tmpl w:val="9E581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1956DB0"/>
    <w:multiLevelType w:val="hybridMultilevel"/>
    <w:tmpl w:val="84FC3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BA687D"/>
    <w:multiLevelType w:val="hybridMultilevel"/>
    <w:tmpl w:val="2BBC35E6"/>
    <w:lvl w:ilvl="0" w:tplc="4C142C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EF7"/>
    <w:multiLevelType w:val="hybridMultilevel"/>
    <w:tmpl w:val="55F2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42735"/>
    <w:multiLevelType w:val="hybridMultilevel"/>
    <w:tmpl w:val="1C32F6D4"/>
    <w:lvl w:ilvl="0" w:tplc="DB781F1E">
      <w:numFmt w:val="bullet"/>
      <w:lvlText w:val="-"/>
      <w:lvlJc w:val="left"/>
      <w:pPr>
        <w:ind w:left="720" w:hanging="360"/>
      </w:pPr>
      <w:rPr>
        <w:rFonts w:ascii="Ping LCG Regular" w:eastAsiaTheme="minorHAnsi" w:hAnsi="Ping LCG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C727F"/>
    <w:multiLevelType w:val="hybridMultilevel"/>
    <w:tmpl w:val="A5C2B7DE"/>
    <w:lvl w:ilvl="0" w:tplc="9EDCC9D4">
      <w:start w:val="1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F1D79"/>
    <w:multiLevelType w:val="hybridMultilevel"/>
    <w:tmpl w:val="A2DEC630"/>
    <w:lvl w:ilvl="0" w:tplc="4F0A8AD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CF38C4"/>
    <w:multiLevelType w:val="hybridMultilevel"/>
    <w:tmpl w:val="0A4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F9610B"/>
    <w:multiLevelType w:val="hybridMultilevel"/>
    <w:tmpl w:val="A0DCAA9C"/>
    <w:lvl w:ilvl="0" w:tplc="5AF86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F0A46"/>
    <w:multiLevelType w:val="hybridMultilevel"/>
    <w:tmpl w:val="5718C70C"/>
    <w:lvl w:ilvl="0" w:tplc="9B92B656">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B322877"/>
    <w:multiLevelType w:val="hybridMultilevel"/>
    <w:tmpl w:val="5F246BE4"/>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DE707D9"/>
    <w:multiLevelType w:val="hybridMultilevel"/>
    <w:tmpl w:val="84DA23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2B4092"/>
    <w:multiLevelType w:val="hybridMultilevel"/>
    <w:tmpl w:val="C3369D3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28B7D05"/>
    <w:multiLevelType w:val="hybridMultilevel"/>
    <w:tmpl w:val="C382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76108"/>
    <w:multiLevelType w:val="hybridMultilevel"/>
    <w:tmpl w:val="678037EA"/>
    <w:lvl w:ilvl="0" w:tplc="9B92B656">
      <w:start w:val="1"/>
      <w:numFmt w:val="bullet"/>
      <w:lvlText w:val="n"/>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4"/>
  </w:num>
  <w:num w:numId="4">
    <w:abstractNumId w:val="10"/>
  </w:num>
  <w:num w:numId="5">
    <w:abstractNumId w:val="12"/>
  </w:num>
  <w:num w:numId="6">
    <w:abstractNumId w:val="0"/>
  </w:num>
  <w:num w:numId="7">
    <w:abstractNumId w:val="1"/>
  </w:num>
  <w:num w:numId="8">
    <w:abstractNumId w:val="10"/>
  </w:num>
  <w:num w:numId="9">
    <w:abstractNumId w:val="4"/>
  </w:num>
  <w:num w:numId="10">
    <w:abstractNumId w:val="13"/>
  </w:num>
  <w:num w:numId="11">
    <w:abstractNumId w:val="3"/>
  </w:num>
  <w:num w:numId="12">
    <w:abstractNumId w:val="7"/>
  </w:num>
  <w:num w:numId="13">
    <w:abstractNumId w:val="2"/>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F"/>
    <w:rsid w:val="00000B90"/>
    <w:rsid w:val="0000389A"/>
    <w:rsid w:val="00005178"/>
    <w:rsid w:val="00005624"/>
    <w:rsid w:val="00005E9F"/>
    <w:rsid w:val="00006F1F"/>
    <w:rsid w:val="00007045"/>
    <w:rsid w:val="0000717C"/>
    <w:rsid w:val="000078B3"/>
    <w:rsid w:val="000101DB"/>
    <w:rsid w:val="00011FD0"/>
    <w:rsid w:val="00014624"/>
    <w:rsid w:val="000165C2"/>
    <w:rsid w:val="0002120E"/>
    <w:rsid w:val="000243CD"/>
    <w:rsid w:val="000247EA"/>
    <w:rsid w:val="000278E0"/>
    <w:rsid w:val="0003011A"/>
    <w:rsid w:val="00030616"/>
    <w:rsid w:val="00030C1E"/>
    <w:rsid w:val="000318E5"/>
    <w:rsid w:val="000342E8"/>
    <w:rsid w:val="00034F16"/>
    <w:rsid w:val="00035927"/>
    <w:rsid w:val="00036594"/>
    <w:rsid w:val="0003750C"/>
    <w:rsid w:val="0003794A"/>
    <w:rsid w:val="00037AAB"/>
    <w:rsid w:val="00040330"/>
    <w:rsid w:val="00040547"/>
    <w:rsid w:val="000409CC"/>
    <w:rsid w:val="00040BAE"/>
    <w:rsid w:val="00040F50"/>
    <w:rsid w:val="00040FC6"/>
    <w:rsid w:val="000410BA"/>
    <w:rsid w:val="0004150D"/>
    <w:rsid w:val="000420FB"/>
    <w:rsid w:val="000441CA"/>
    <w:rsid w:val="00045E47"/>
    <w:rsid w:val="00046EE0"/>
    <w:rsid w:val="00051089"/>
    <w:rsid w:val="00051F5D"/>
    <w:rsid w:val="00053B59"/>
    <w:rsid w:val="00054068"/>
    <w:rsid w:val="0005464C"/>
    <w:rsid w:val="000556A6"/>
    <w:rsid w:val="00057EDA"/>
    <w:rsid w:val="00062316"/>
    <w:rsid w:val="00063407"/>
    <w:rsid w:val="000637A1"/>
    <w:rsid w:val="00063B17"/>
    <w:rsid w:val="0006466A"/>
    <w:rsid w:val="000653CD"/>
    <w:rsid w:val="000659E5"/>
    <w:rsid w:val="00072349"/>
    <w:rsid w:val="00072974"/>
    <w:rsid w:val="00072BE3"/>
    <w:rsid w:val="00073206"/>
    <w:rsid w:val="0007354E"/>
    <w:rsid w:val="00073F0A"/>
    <w:rsid w:val="0007492C"/>
    <w:rsid w:val="00074D34"/>
    <w:rsid w:val="000766EE"/>
    <w:rsid w:val="0007681F"/>
    <w:rsid w:val="0007684C"/>
    <w:rsid w:val="00076DA3"/>
    <w:rsid w:val="00080FC8"/>
    <w:rsid w:val="00080FDE"/>
    <w:rsid w:val="0008133F"/>
    <w:rsid w:val="00084368"/>
    <w:rsid w:val="0008681E"/>
    <w:rsid w:val="000873B5"/>
    <w:rsid w:val="00090A25"/>
    <w:rsid w:val="00091714"/>
    <w:rsid w:val="00092366"/>
    <w:rsid w:val="00092432"/>
    <w:rsid w:val="00092D74"/>
    <w:rsid w:val="00093DB5"/>
    <w:rsid w:val="0009495F"/>
    <w:rsid w:val="000956DB"/>
    <w:rsid w:val="00096107"/>
    <w:rsid w:val="000A094C"/>
    <w:rsid w:val="000A3229"/>
    <w:rsid w:val="000A3B4B"/>
    <w:rsid w:val="000A3F52"/>
    <w:rsid w:val="000A6531"/>
    <w:rsid w:val="000A72F6"/>
    <w:rsid w:val="000A7890"/>
    <w:rsid w:val="000B0353"/>
    <w:rsid w:val="000B2640"/>
    <w:rsid w:val="000B2EE4"/>
    <w:rsid w:val="000B3A22"/>
    <w:rsid w:val="000B4186"/>
    <w:rsid w:val="000B54A7"/>
    <w:rsid w:val="000B5524"/>
    <w:rsid w:val="000B699B"/>
    <w:rsid w:val="000B7B06"/>
    <w:rsid w:val="000C60EB"/>
    <w:rsid w:val="000C7A5D"/>
    <w:rsid w:val="000D01A3"/>
    <w:rsid w:val="000D11C1"/>
    <w:rsid w:val="000D1FE0"/>
    <w:rsid w:val="000D28C8"/>
    <w:rsid w:val="000D35B3"/>
    <w:rsid w:val="000D3D64"/>
    <w:rsid w:val="000D3DFA"/>
    <w:rsid w:val="000D4319"/>
    <w:rsid w:val="000D6F54"/>
    <w:rsid w:val="000D7232"/>
    <w:rsid w:val="000D7BB4"/>
    <w:rsid w:val="000E2219"/>
    <w:rsid w:val="000E373D"/>
    <w:rsid w:val="000E3EDA"/>
    <w:rsid w:val="000E4DC2"/>
    <w:rsid w:val="000E4F47"/>
    <w:rsid w:val="000E7FCF"/>
    <w:rsid w:val="000F04CF"/>
    <w:rsid w:val="000F0FBB"/>
    <w:rsid w:val="000F2DD5"/>
    <w:rsid w:val="000F4506"/>
    <w:rsid w:val="000F74BC"/>
    <w:rsid w:val="000F7B34"/>
    <w:rsid w:val="000F7F76"/>
    <w:rsid w:val="001001C5"/>
    <w:rsid w:val="00100561"/>
    <w:rsid w:val="00103CB6"/>
    <w:rsid w:val="001066E9"/>
    <w:rsid w:val="001072A1"/>
    <w:rsid w:val="00107392"/>
    <w:rsid w:val="001102B3"/>
    <w:rsid w:val="0011049E"/>
    <w:rsid w:val="00111036"/>
    <w:rsid w:val="00111824"/>
    <w:rsid w:val="00114696"/>
    <w:rsid w:val="00114898"/>
    <w:rsid w:val="00117672"/>
    <w:rsid w:val="00117AD7"/>
    <w:rsid w:val="00117FD9"/>
    <w:rsid w:val="00121D18"/>
    <w:rsid w:val="00121F51"/>
    <w:rsid w:val="00122AFD"/>
    <w:rsid w:val="001230C9"/>
    <w:rsid w:val="001234DA"/>
    <w:rsid w:val="00125B68"/>
    <w:rsid w:val="0012634E"/>
    <w:rsid w:val="00126B94"/>
    <w:rsid w:val="00131DF7"/>
    <w:rsid w:val="0013255B"/>
    <w:rsid w:val="00132FFB"/>
    <w:rsid w:val="00133441"/>
    <w:rsid w:val="00134057"/>
    <w:rsid w:val="00134259"/>
    <w:rsid w:val="0014283C"/>
    <w:rsid w:val="00143285"/>
    <w:rsid w:val="00144C7A"/>
    <w:rsid w:val="00144DA0"/>
    <w:rsid w:val="00145FF1"/>
    <w:rsid w:val="00146990"/>
    <w:rsid w:val="00147140"/>
    <w:rsid w:val="001504E0"/>
    <w:rsid w:val="001505F5"/>
    <w:rsid w:val="00151314"/>
    <w:rsid w:val="001523D4"/>
    <w:rsid w:val="0015328A"/>
    <w:rsid w:val="00153A91"/>
    <w:rsid w:val="00157AAF"/>
    <w:rsid w:val="00160FB6"/>
    <w:rsid w:val="00161969"/>
    <w:rsid w:val="00162E3D"/>
    <w:rsid w:val="00163043"/>
    <w:rsid w:val="00165F00"/>
    <w:rsid w:val="0016613B"/>
    <w:rsid w:val="0016638B"/>
    <w:rsid w:val="00170B56"/>
    <w:rsid w:val="00171B20"/>
    <w:rsid w:val="00173576"/>
    <w:rsid w:val="0017396F"/>
    <w:rsid w:val="00173DCE"/>
    <w:rsid w:val="00174504"/>
    <w:rsid w:val="00174C59"/>
    <w:rsid w:val="00176DA0"/>
    <w:rsid w:val="00180910"/>
    <w:rsid w:val="001816CC"/>
    <w:rsid w:val="00183957"/>
    <w:rsid w:val="0018622C"/>
    <w:rsid w:val="00186315"/>
    <w:rsid w:val="00186E71"/>
    <w:rsid w:val="001874AA"/>
    <w:rsid w:val="00187D5E"/>
    <w:rsid w:val="00190D6D"/>
    <w:rsid w:val="00192181"/>
    <w:rsid w:val="00192557"/>
    <w:rsid w:val="001931C7"/>
    <w:rsid w:val="00194B84"/>
    <w:rsid w:val="00195264"/>
    <w:rsid w:val="00197544"/>
    <w:rsid w:val="001A1492"/>
    <w:rsid w:val="001A2A4C"/>
    <w:rsid w:val="001A3BC4"/>
    <w:rsid w:val="001A4A19"/>
    <w:rsid w:val="001B100F"/>
    <w:rsid w:val="001B2711"/>
    <w:rsid w:val="001B41E2"/>
    <w:rsid w:val="001B472B"/>
    <w:rsid w:val="001B497A"/>
    <w:rsid w:val="001B69BA"/>
    <w:rsid w:val="001B7B83"/>
    <w:rsid w:val="001C14E1"/>
    <w:rsid w:val="001C15E7"/>
    <w:rsid w:val="001C3368"/>
    <w:rsid w:val="001C3371"/>
    <w:rsid w:val="001C3E57"/>
    <w:rsid w:val="001C4373"/>
    <w:rsid w:val="001C4C01"/>
    <w:rsid w:val="001C5425"/>
    <w:rsid w:val="001D0FB7"/>
    <w:rsid w:val="001D17B1"/>
    <w:rsid w:val="001D1CCC"/>
    <w:rsid w:val="001D2A8F"/>
    <w:rsid w:val="001D2EE1"/>
    <w:rsid w:val="001D3164"/>
    <w:rsid w:val="001D3750"/>
    <w:rsid w:val="001D3C35"/>
    <w:rsid w:val="001D63D8"/>
    <w:rsid w:val="001D65ED"/>
    <w:rsid w:val="001D69D3"/>
    <w:rsid w:val="001D78C6"/>
    <w:rsid w:val="001D7992"/>
    <w:rsid w:val="001E0533"/>
    <w:rsid w:val="001E4243"/>
    <w:rsid w:val="001E49ED"/>
    <w:rsid w:val="001E5697"/>
    <w:rsid w:val="001F27B0"/>
    <w:rsid w:val="001F3772"/>
    <w:rsid w:val="001F47DF"/>
    <w:rsid w:val="001F52AD"/>
    <w:rsid w:val="001F55FF"/>
    <w:rsid w:val="001F6905"/>
    <w:rsid w:val="001F6F3C"/>
    <w:rsid w:val="00200C60"/>
    <w:rsid w:val="00205CC6"/>
    <w:rsid w:val="00205F13"/>
    <w:rsid w:val="0020689E"/>
    <w:rsid w:val="00207CC9"/>
    <w:rsid w:val="00211DC3"/>
    <w:rsid w:val="002123EE"/>
    <w:rsid w:val="0021295A"/>
    <w:rsid w:val="00213F28"/>
    <w:rsid w:val="00216201"/>
    <w:rsid w:val="00217226"/>
    <w:rsid w:val="002203CF"/>
    <w:rsid w:val="002204FE"/>
    <w:rsid w:val="0022072C"/>
    <w:rsid w:val="00220A48"/>
    <w:rsid w:val="0022200A"/>
    <w:rsid w:val="00222638"/>
    <w:rsid w:val="00222F5B"/>
    <w:rsid w:val="0022351D"/>
    <w:rsid w:val="00224F9B"/>
    <w:rsid w:val="00226482"/>
    <w:rsid w:val="00226707"/>
    <w:rsid w:val="0023099A"/>
    <w:rsid w:val="00230CEB"/>
    <w:rsid w:val="00231480"/>
    <w:rsid w:val="00231ACF"/>
    <w:rsid w:val="00232DF1"/>
    <w:rsid w:val="002337A0"/>
    <w:rsid w:val="00236416"/>
    <w:rsid w:val="00237040"/>
    <w:rsid w:val="002401A4"/>
    <w:rsid w:val="00240929"/>
    <w:rsid w:val="00241BB1"/>
    <w:rsid w:val="00243A73"/>
    <w:rsid w:val="00243FEA"/>
    <w:rsid w:val="0024458B"/>
    <w:rsid w:val="0024686A"/>
    <w:rsid w:val="0024698B"/>
    <w:rsid w:val="00247198"/>
    <w:rsid w:val="002504A0"/>
    <w:rsid w:val="0025066A"/>
    <w:rsid w:val="002524D7"/>
    <w:rsid w:val="002525D6"/>
    <w:rsid w:val="0025278D"/>
    <w:rsid w:val="00253769"/>
    <w:rsid w:val="00253B09"/>
    <w:rsid w:val="002540CD"/>
    <w:rsid w:val="0025482C"/>
    <w:rsid w:val="00255554"/>
    <w:rsid w:val="002610EB"/>
    <w:rsid w:val="00261B9E"/>
    <w:rsid w:val="00262DAE"/>
    <w:rsid w:val="00262F85"/>
    <w:rsid w:val="00263A34"/>
    <w:rsid w:val="00263FB4"/>
    <w:rsid w:val="00264798"/>
    <w:rsid w:val="00265062"/>
    <w:rsid w:val="00266A9F"/>
    <w:rsid w:val="00271726"/>
    <w:rsid w:val="00272E40"/>
    <w:rsid w:val="00273E62"/>
    <w:rsid w:val="0027444B"/>
    <w:rsid w:val="00274A68"/>
    <w:rsid w:val="00277187"/>
    <w:rsid w:val="002801D4"/>
    <w:rsid w:val="002801FF"/>
    <w:rsid w:val="00282983"/>
    <w:rsid w:val="00282D49"/>
    <w:rsid w:val="002851CF"/>
    <w:rsid w:val="0028549C"/>
    <w:rsid w:val="002856DE"/>
    <w:rsid w:val="00285CA5"/>
    <w:rsid w:val="00286D01"/>
    <w:rsid w:val="002874BE"/>
    <w:rsid w:val="002914B9"/>
    <w:rsid w:val="00291CCF"/>
    <w:rsid w:val="00292A09"/>
    <w:rsid w:val="002931ED"/>
    <w:rsid w:val="0029390E"/>
    <w:rsid w:val="002940B0"/>
    <w:rsid w:val="0029516A"/>
    <w:rsid w:val="002969E9"/>
    <w:rsid w:val="00297B43"/>
    <w:rsid w:val="002A01AE"/>
    <w:rsid w:val="002A0413"/>
    <w:rsid w:val="002A11F8"/>
    <w:rsid w:val="002A149F"/>
    <w:rsid w:val="002A26B3"/>
    <w:rsid w:val="002A311A"/>
    <w:rsid w:val="002A471A"/>
    <w:rsid w:val="002A5410"/>
    <w:rsid w:val="002A7674"/>
    <w:rsid w:val="002B071E"/>
    <w:rsid w:val="002B09B5"/>
    <w:rsid w:val="002B11B1"/>
    <w:rsid w:val="002B19A2"/>
    <w:rsid w:val="002B1C64"/>
    <w:rsid w:val="002B1E22"/>
    <w:rsid w:val="002B31B4"/>
    <w:rsid w:val="002B3892"/>
    <w:rsid w:val="002B3FAD"/>
    <w:rsid w:val="002B60E5"/>
    <w:rsid w:val="002B6462"/>
    <w:rsid w:val="002B6C12"/>
    <w:rsid w:val="002B70E8"/>
    <w:rsid w:val="002C0444"/>
    <w:rsid w:val="002C0FF0"/>
    <w:rsid w:val="002C361E"/>
    <w:rsid w:val="002C48D6"/>
    <w:rsid w:val="002C4A9D"/>
    <w:rsid w:val="002D1E3A"/>
    <w:rsid w:val="002D271C"/>
    <w:rsid w:val="002D2AE0"/>
    <w:rsid w:val="002D3D75"/>
    <w:rsid w:val="002D4059"/>
    <w:rsid w:val="002D4283"/>
    <w:rsid w:val="002D5BE3"/>
    <w:rsid w:val="002D5E7B"/>
    <w:rsid w:val="002E126F"/>
    <w:rsid w:val="002E18F3"/>
    <w:rsid w:val="002E2350"/>
    <w:rsid w:val="002E3E99"/>
    <w:rsid w:val="002E56FE"/>
    <w:rsid w:val="002E596B"/>
    <w:rsid w:val="002E5C29"/>
    <w:rsid w:val="002E69F3"/>
    <w:rsid w:val="002E6B39"/>
    <w:rsid w:val="002E6B7E"/>
    <w:rsid w:val="002F11D2"/>
    <w:rsid w:val="002F1AEE"/>
    <w:rsid w:val="002F235F"/>
    <w:rsid w:val="002F6C6E"/>
    <w:rsid w:val="003000F5"/>
    <w:rsid w:val="003003C3"/>
    <w:rsid w:val="00301440"/>
    <w:rsid w:val="0030251A"/>
    <w:rsid w:val="00302F38"/>
    <w:rsid w:val="00305FD2"/>
    <w:rsid w:val="00306461"/>
    <w:rsid w:val="0030660D"/>
    <w:rsid w:val="00306C30"/>
    <w:rsid w:val="003076FF"/>
    <w:rsid w:val="00310A38"/>
    <w:rsid w:val="00310DCE"/>
    <w:rsid w:val="003115C0"/>
    <w:rsid w:val="00312219"/>
    <w:rsid w:val="00312814"/>
    <w:rsid w:val="00313A28"/>
    <w:rsid w:val="0031412B"/>
    <w:rsid w:val="003168E2"/>
    <w:rsid w:val="00316B8F"/>
    <w:rsid w:val="00317379"/>
    <w:rsid w:val="0031761B"/>
    <w:rsid w:val="00317F69"/>
    <w:rsid w:val="0032013B"/>
    <w:rsid w:val="0032033F"/>
    <w:rsid w:val="00320737"/>
    <w:rsid w:val="00320C53"/>
    <w:rsid w:val="0032184F"/>
    <w:rsid w:val="0032227B"/>
    <w:rsid w:val="00322D3C"/>
    <w:rsid w:val="00323439"/>
    <w:rsid w:val="00323529"/>
    <w:rsid w:val="00324747"/>
    <w:rsid w:val="00324E65"/>
    <w:rsid w:val="00324F6F"/>
    <w:rsid w:val="00325C1E"/>
    <w:rsid w:val="003276E9"/>
    <w:rsid w:val="0033121C"/>
    <w:rsid w:val="00332655"/>
    <w:rsid w:val="00333A95"/>
    <w:rsid w:val="00334531"/>
    <w:rsid w:val="003350F2"/>
    <w:rsid w:val="0033597C"/>
    <w:rsid w:val="00341394"/>
    <w:rsid w:val="00342DFE"/>
    <w:rsid w:val="00343E17"/>
    <w:rsid w:val="003440C8"/>
    <w:rsid w:val="003448EC"/>
    <w:rsid w:val="003456C7"/>
    <w:rsid w:val="00345E65"/>
    <w:rsid w:val="00346DE9"/>
    <w:rsid w:val="00347332"/>
    <w:rsid w:val="00351330"/>
    <w:rsid w:val="00351929"/>
    <w:rsid w:val="00351D93"/>
    <w:rsid w:val="00352EC2"/>
    <w:rsid w:val="00353A25"/>
    <w:rsid w:val="003560DD"/>
    <w:rsid w:val="00356C5A"/>
    <w:rsid w:val="00356CE0"/>
    <w:rsid w:val="00361EA2"/>
    <w:rsid w:val="00362748"/>
    <w:rsid w:val="00362AA8"/>
    <w:rsid w:val="0036387B"/>
    <w:rsid w:val="00363F46"/>
    <w:rsid w:val="00365D71"/>
    <w:rsid w:val="003665EA"/>
    <w:rsid w:val="00367E94"/>
    <w:rsid w:val="003705DC"/>
    <w:rsid w:val="003707A5"/>
    <w:rsid w:val="00370F77"/>
    <w:rsid w:val="00373B2C"/>
    <w:rsid w:val="00373E29"/>
    <w:rsid w:val="003740B8"/>
    <w:rsid w:val="00374636"/>
    <w:rsid w:val="00376041"/>
    <w:rsid w:val="00380AE0"/>
    <w:rsid w:val="00380E82"/>
    <w:rsid w:val="0038250F"/>
    <w:rsid w:val="00383DE3"/>
    <w:rsid w:val="00384B7B"/>
    <w:rsid w:val="00384E4D"/>
    <w:rsid w:val="00385144"/>
    <w:rsid w:val="00386C81"/>
    <w:rsid w:val="00386CC0"/>
    <w:rsid w:val="00387229"/>
    <w:rsid w:val="003902A3"/>
    <w:rsid w:val="00390668"/>
    <w:rsid w:val="0039068D"/>
    <w:rsid w:val="0039129A"/>
    <w:rsid w:val="00392A97"/>
    <w:rsid w:val="00392F28"/>
    <w:rsid w:val="003937EE"/>
    <w:rsid w:val="00394C2E"/>
    <w:rsid w:val="00394D7D"/>
    <w:rsid w:val="003955A8"/>
    <w:rsid w:val="0039670F"/>
    <w:rsid w:val="003A0DED"/>
    <w:rsid w:val="003A10E2"/>
    <w:rsid w:val="003A165B"/>
    <w:rsid w:val="003A3F7A"/>
    <w:rsid w:val="003A43C9"/>
    <w:rsid w:val="003A4C41"/>
    <w:rsid w:val="003A4D8D"/>
    <w:rsid w:val="003A603D"/>
    <w:rsid w:val="003A69F9"/>
    <w:rsid w:val="003A7339"/>
    <w:rsid w:val="003A7AC0"/>
    <w:rsid w:val="003B2B94"/>
    <w:rsid w:val="003B45C3"/>
    <w:rsid w:val="003B4700"/>
    <w:rsid w:val="003B62A8"/>
    <w:rsid w:val="003B6632"/>
    <w:rsid w:val="003B6BDF"/>
    <w:rsid w:val="003C19F3"/>
    <w:rsid w:val="003C25FB"/>
    <w:rsid w:val="003C335F"/>
    <w:rsid w:val="003C3AAD"/>
    <w:rsid w:val="003C3E02"/>
    <w:rsid w:val="003C3E45"/>
    <w:rsid w:val="003C4657"/>
    <w:rsid w:val="003C4ACD"/>
    <w:rsid w:val="003C5304"/>
    <w:rsid w:val="003C5333"/>
    <w:rsid w:val="003C6286"/>
    <w:rsid w:val="003D1BEF"/>
    <w:rsid w:val="003D499B"/>
    <w:rsid w:val="003D4D14"/>
    <w:rsid w:val="003D5BE9"/>
    <w:rsid w:val="003D6ABF"/>
    <w:rsid w:val="003D6D93"/>
    <w:rsid w:val="003D7403"/>
    <w:rsid w:val="003E0F5C"/>
    <w:rsid w:val="003E107C"/>
    <w:rsid w:val="003E1B44"/>
    <w:rsid w:val="003E1E00"/>
    <w:rsid w:val="003E20DB"/>
    <w:rsid w:val="003E36E9"/>
    <w:rsid w:val="003E3D98"/>
    <w:rsid w:val="003E5984"/>
    <w:rsid w:val="003F09D6"/>
    <w:rsid w:val="003F211A"/>
    <w:rsid w:val="003F5062"/>
    <w:rsid w:val="003F5E2B"/>
    <w:rsid w:val="003F6FFB"/>
    <w:rsid w:val="003F7811"/>
    <w:rsid w:val="004002D9"/>
    <w:rsid w:val="004020B4"/>
    <w:rsid w:val="004032D2"/>
    <w:rsid w:val="00404892"/>
    <w:rsid w:val="00405C6C"/>
    <w:rsid w:val="00406F3A"/>
    <w:rsid w:val="004070C0"/>
    <w:rsid w:val="00407BB8"/>
    <w:rsid w:val="004115C9"/>
    <w:rsid w:val="004118F1"/>
    <w:rsid w:val="00411A51"/>
    <w:rsid w:val="00412E4D"/>
    <w:rsid w:val="00412E8B"/>
    <w:rsid w:val="0041335E"/>
    <w:rsid w:val="0041371B"/>
    <w:rsid w:val="004137DE"/>
    <w:rsid w:val="00413876"/>
    <w:rsid w:val="0041606E"/>
    <w:rsid w:val="004162CE"/>
    <w:rsid w:val="004167DB"/>
    <w:rsid w:val="00416DF7"/>
    <w:rsid w:val="004204B4"/>
    <w:rsid w:val="004210AD"/>
    <w:rsid w:val="00421F26"/>
    <w:rsid w:val="0042203F"/>
    <w:rsid w:val="004223C6"/>
    <w:rsid w:val="00423075"/>
    <w:rsid w:val="00423DDF"/>
    <w:rsid w:val="004246FC"/>
    <w:rsid w:val="00425031"/>
    <w:rsid w:val="0042519B"/>
    <w:rsid w:val="00425379"/>
    <w:rsid w:val="00425EAB"/>
    <w:rsid w:val="00427F36"/>
    <w:rsid w:val="004330D1"/>
    <w:rsid w:val="00433534"/>
    <w:rsid w:val="00437EE6"/>
    <w:rsid w:val="00440074"/>
    <w:rsid w:val="00440835"/>
    <w:rsid w:val="00440A5E"/>
    <w:rsid w:val="00440F4E"/>
    <w:rsid w:val="00441AF2"/>
    <w:rsid w:val="0044282B"/>
    <w:rsid w:val="0044344E"/>
    <w:rsid w:val="00444550"/>
    <w:rsid w:val="00445FFE"/>
    <w:rsid w:val="0044689A"/>
    <w:rsid w:val="00447D68"/>
    <w:rsid w:val="00447E45"/>
    <w:rsid w:val="00447F08"/>
    <w:rsid w:val="00453AB0"/>
    <w:rsid w:val="00453CBA"/>
    <w:rsid w:val="0045587C"/>
    <w:rsid w:val="00456FD1"/>
    <w:rsid w:val="00456FE0"/>
    <w:rsid w:val="00457E1E"/>
    <w:rsid w:val="004622D5"/>
    <w:rsid w:val="004627FC"/>
    <w:rsid w:val="00463FA5"/>
    <w:rsid w:val="004648CC"/>
    <w:rsid w:val="00465168"/>
    <w:rsid w:val="004660A4"/>
    <w:rsid w:val="00466898"/>
    <w:rsid w:val="00466FD7"/>
    <w:rsid w:val="0046700A"/>
    <w:rsid w:val="0046759F"/>
    <w:rsid w:val="00467C62"/>
    <w:rsid w:val="004703AD"/>
    <w:rsid w:val="004709DF"/>
    <w:rsid w:val="00471166"/>
    <w:rsid w:val="004714A2"/>
    <w:rsid w:val="00471933"/>
    <w:rsid w:val="00471CC9"/>
    <w:rsid w:val="00472C4F"/>
    <w:rsid w:val="004737D9"/>
    <w:rsid w:val="00474FD1"/>
    <w:rsid w:val="00475B39"/>
    <w:rsid w:val="00476A53"/>
    <w:rsid w:val="00477938"/>
    <w:rsid w:val="00477B69"/>
    <w:rsid w:val="00480D18"/>
    <w:rsid w:val="0048285C"/>
    <w:rsid w:val="004831A5"/>
    <w:rsid w:val="00484C58"/>
    <w:rsid w:val="004861B6"/>
    <w:rsid w:val="00487032"/>
    <w:rsid w:val="004870D9"/>
    <w:rsid w:val="00487FD3"/>
    <w:rsid w:val="00492E86"/>
    <w:rsid w:val="004940B2"/>
    <w:rsid w:val="00494DEA"/>
    <w:rsid w:val="00494DF5"/>
    <w:rsid w:val="00495518"/>
    <w:rsid w:val="004A487F"/>
    <w:rsid w:val="004A5BC5"/>
    <w:rsid w:val="004A7222"/>
    <w:rsid w:val="004B12ED"/>
    <w:rsid w:val="004B1D05"/>
    <w:rsid w:val="004B328F"/>
    <w:rsid w:val="004B32BA"/>
    <w:rsid w:val="004B6EF6"/>
    <w:rsid w:val="004B7A61"/>
    <w:rsid w:val="004C02DD"/>
    <w:rsid w:val="004C0FEB"/>
    <w:rsid w:val="004C1BC9"/>
    <w:rsid w:val="004C256A"/>
    <w:rsid w:val="004C2AFF"/>
    <w:rsid w:val="004C3870"/>
    <w:rsid w:val="004C42A5"/>
    <w:rsid w:val="004C5202"/>
    <w:rsid w:val="004C6584"/>
    <w:rsid w:val="004C6F00"/>
    <w:rsid w:val="004C7340"/>
    <w:rsid w:val="004D184B"/>
    <w:rsid w:val="004D2556"/>
    <w:rsid w:val="004D4239"/>
    <w:rsid w:val="004D592C"/>
    <w:rsid w:val="004D6715"/>
    <w:rsid w:val="004E012D"/>
    <w:rsid w:val="004E0B5A"/>
    <w:rsid w:val="004E2199"/>
    <w:rsid w:val="004E3B86"/>
    <w:rsid w:val="004E46BC"/>
    <w:rsid w:val="004E60AB"/>
    <w:rsid w:val="004E66F0"/>
    <w:rsid w:val="004E6A31"/>
    <w:rsid w:val="004E6B83"/>
    <w:rsid w:val="004E72C7"/>
    <w:rsid w:val="004E7CE8"/>
    <w:rsid w:val="004F133B"/>
    <w:rsid w:val="004F243B"/>
    <w:rsid w:val="004F2552"/>
    <w:rsid w:val="004F3C17"/>
    <w:rsid w:val="004F57C9"/>
    <w:rsid w:val="004F640E"/>
    <w:rsid w:val="00502FE1"/>
    <w:rsid w:val="00503434"/>
    <w:rsid w:val="00504205"/>
    <w:rsid w:val="005044D3"/>
    <w:rsid w:val="005051F0"/>
    <w:rsid w:val="0050573A"/>
    <w:rsid w:val="005072B0"/>
    <w:rsid w:val="00510897"/>
    <w:rsid w:val="00513E77"/>
    <w:rsid w:val="00514A01"/>
    <w:rsid w:val="00516A93"/>
    <w:rsid w:val="0052195E"/>
    <w:rsid w:val="00522C84"/>
    <w:rsid w:val="00523F59"/>
    <w:rsid w:val="005307CB"/>
    <w:rsid w:val="00532226"/>
    <w:rsid w:val="00534C95"/>
    <w:rsid w:val="00536A41"/>
    <w:rsid w:val="005371B0"/>
    <w:rsid w:val="00540216"/>
    <w:rsid w:val="0054172F"/>
    <w:rsid w:val="005442FE"/>
    <w:rsid w:val="00544964"/>
    <w:rsid w:val="00544CB4"/>
    <w:rsid w:val="005470B8"/>
    <w:rsid w:val="00550491"/>
    <w:rsid w:val="00551CCA"/>
    <w:rsid w:val="0055285F"/>
    <w:rsid w:val="005536BA"/>
    <w:rsid w:val="005568A3"/>
    <w:rsid w:val="00561089"/>
    <w:rsid w:val="005619A4"/>
    <w:rsid w:val="00562254"/>
    <w:rsid w:val="0056532D"/>
    <w:rsid w:val="005655DF"/>
    <w:rsid w:val="00565620"/>
    <w:rsid w:val="00570F3F"/>
    <w:rsid w:val="005711ED"/>
    <w:rsid w:val="00572C88"/>
    <w:rsid w:val="005734C9"/>
    <w:rsid w:val="00574417"/>
    <w:rsid w:val="00574A3A"/>
    <w:rsid w:val="00574D1A"/>
    <w:rsid w:val="00575DAB"/>
    <w:rsid w:val="00576B75"/>
    <w:rsid w:val="005776B0"/>
    <w:rsid w:val="00582486"/>
    <w:rsid w:val="00582C89"/>
    <w:rsid w:val="0058376B"/>
    <w:rsid w:val="00583C01"/>
    <w:rsid w:val="00585A7A"/>
    <w:rsid w:val="005860E4"/>
    <w:rsid w:val="00586698"/>
    <w:rsid w:val="00587040"/>
    <w:rsid w:val="00592F15"/>
    <w:rsid w:val="005935B3"/>
    <w:rsid w:val="00593C3D"/>
    <w:rsid w:val="00595117"/>
    <w:rsid w:val="005A30E2"/>
    <w:rsid w:val="005A750B"/>
    <w:rsid w:val="005A7670"/>
    <w:rsid w:val="005A7877"/>
    <w:rsid w:val="005A795A"/>
    <w:rsid w:val="005A7CBD"/>
    <w:rsid w:val="005B02B4"/>
    <w:rsid w:val="005B202D"/>
    <w:rsid w:val="005B3CDC"/>
    <w:rsid w:val="005B561C"/>
    <w:rsid w:val="005B63C2"/>
    <w:rsid w:val="005C0574"/>
    <w:rsid w:val="005C1A9E"/>
    <w:rsid w:val="005C33BA"/>
    <w:rsid w:val="005C3A3D"/>
    <w:rsid w:val="005C3AEA"/>
    <w:rsid w:val="005C3FF2"/>
    <w:rsid w:val="005C4B28"/>
    <w:rsid w:val="005C624D"/>
    <w:rsid w:val="005D02E4"/>
    <w:rsid w:val="005D1A21"/>
    <w:rsid w:val="005D1DAC"/>
    <w:rsid w:val="005D35A3"/>
    <w:rsid w:val="005D3CB9"/>
    <w:rsid w:val="005D61D1"/>
    <w:rsid w:val="005D639B"/>
    <w:rsid w:val="005D72CA"/>
    <w:rsid w:val="005E05BA"/>
    <w:rsid w:val="005E1110"/>
    <w:rsid w:val="005E126D"/>
    <w:rsid w:val="005E149B"/>
    <w:rsid w:val="005E30E1"/>
    <w:rsid w:val="005E3946"/>
    <w:rsid w:val="005E5AB2"/>
    <w:rsid w:val="005E7C94"/>
    <w:rsid w:val="005E7D5C"/>
    <w:rsid w:val="005F0552"/>
    <w:rsid w:val="005F088D"/>
    <w:rsid w:val="005F1282"/>
    <w:rsid w:val="005F14A2"/>
    <w:rsid w:val="005F2DC9"/>
    <w:rsid w:val="005F2FBE"/>
    <w:rsid w:val="005F4212"/>
    <w:rsid w:val="005F46B5"/>
    <w:rsid w:val="00600FD9"/>
    <w:rsid w:val="00601607"/>
    <w:rsid w:val="00601B88"/>
    <w:rsid w:val="006025FD"/>
    <w:rsid w:val="006027E4"/>
    <w:rsid w:val="006043F1"/>
    <w:rsid w:val="00604DCA"/>
    <w:rsid w:val="00610A5A"/>
    <w:rsid w:val="0061100C"/>
    <w:rsid w:val="00611F37"/>
    <w:rsid w:val="006133DB"/>
    <w:rsid w:val="00613775"/>
    <w:rsid w:val="006142AC"/>
    <w:rsid w:val="006160EB"/>
    <w:rsid w:val="00616245"/>
    <w:rsid w:val="0061628A"/>
    <w:rsid w:val="006176FD"/>
    <w:rsid w:val="00617E01"/>
    <w:rsid w:val="00620BC3"/>
    <w:rsid w:val="00622BCD"/>
    <w:rsid w:val="00623061"/>
    <w:rsid w:val="00623688"/>
    <w:rsid w:val="00624631"/>
    <w:rsid w:val="006253FE"/>
    <w:rsid w:val="0062664E"/>
    <w:rsid w:val="0062759B"/>
    <w:rsid w:val="006309DF"/>
    <w:rsid w:val="00633C98"/>
    <w:rsid w:val="00633F04"/>
    <w:rsid w:val="006341A7"/>
    <w:rsid w:val="00634E4A"/>
    <w:rsid w:val="00635544"/>
    <w:rsid w:val="006377AC"/>
    <w:rsid w:val="00637EA8"/>
    <w:rsid w:val="00640383"/>
    <w:rsid w:val="00641518"/>
    <w:rsid w:val="00641F66"/>
    <w:rsid w:val="00642A57"/>
    <w:rsid w:val="00642A79"/>
    <w:rsid w:val="006433DC"/>
    <w:rsid w:val="00644CC0"/>
    <w:rsid w:val="00645A35"/>
    <w:rsid w:val="00645E47"/>
    <w:rsid w:val="006505D1"/>
    <w:rsid w:val="006511A3"/>
    <w:rsid w:val="0065261F"/>
    <w:rsid w:val="006539DF"/>
    <w:rsid w:val="00655791"/>
    <w:rsid w:val="006609FA"/>
    <w:rsid w:val="00660F30"/>
    <w:rsid w:val="0066110C"/>
    <w:rsid w:val="00661383"/>
    <w:rsid w:val="00661973"/>
    <w:rsid w:val="00661E9E"/>
    <w:rsid w:val="00662F6D"/>
    <w:rsid w:val="00663E66"/>
    <w:rsid w:val="006642F8"/>
    <w:rsid w:val="006647C7"/>
    <w:rsid w:val="00666E9A"/>
    <w:rsid w:val="0066763C"/>
    <w:rsid w:val="006704A6"/>
    <w:rsid w:val="0067291A"/>
    <w:rsid w:val="00672D14"/>
    <w:rsid w:val="006732AC"/>
    <w:rsid w:val="00674726"/>
    <w:rsid w:val="006748D7"/>
    <w:rsid w:val="00675869"/>
    <w:rsid w:val="0067597B"/>
    <w:rsid w:val="00675AA2"/>
    <w:rsid w:val="00676889"/>
    <w:rsid w:val="00676B0E"/>
    <w:rsid w:val="00677CE8"/>
    <w:rsid w:val="00677D86"/>
    <w:rsid w:val="006800B2"/>
    <w:rsid w:val="0068059A"/>
    <w:rsid w:val="0068157B"/>
    <w:rsid w:val="00681A86"/>
    <w:rsid w:val="00683AE0"/>
    <w:rsid w:val="00684587"/>
    <w:rsid w:val="00684FA4"/>
    <w:rsid w:val="006858D2"/>
    <w:rsid w:val="00686B85"/>
    <w:rsid w:val="006914A6"/>
    <w:rsid w:val="00691C18"/>
    <w:rsid w:val="00692219"/>
    <w:rsid w:val="0069364A"/>
    <w:rsid w:val="00693713"/>
    <w:rsid w:val="006937C9"/>
    <w:rsid w:val="00694E3B"/>
    <w:rsid w:val="006970D1"/>
    <w:rsid w:val="006976A3"/>
    <w:rsid w:val="0069775B"/>
    <w:rsid w:val="00697DE3"/>
    <w:rsid w:val="006A0C71"/>
    <w:rsid w:val="006A0EE2"/>
    <w:rsid w:val="006A165E"/>
    <w:rsid w:val="006A1BCC"/>
    <w:rsid w:val="006A20F2"/>
    <w:rsid w:val="006A2E05"/>
    <w:rsid w:val="006A34A6"/>
    <w:rsid w:val="006A438F"/>
    <w:rsid w:val="006B3438"/>
    <w:rsid w:val="006B38A4"/>
    <w:rsid w:val="006B5275"/>
    <w:rsid w:val="006B5C06"/>
    <w:rsid w:val="006B5DCA"/>
    <w:rsid w:val="006B6277"/>
    <w:rsid w:val="006B67BD"/>
    <w:rsid w:val="006B6FB2"/>
    <w:rsid w:val="006B7198"/>
    <w:rsid w:val="006B7BFB"/>
    <w:rsid w:val="006C05DE"/>
    <w:rsid w:val="006C0838"/>
    <w:rsid w:val="006C0ABF"/>
    <w:rsid w:val="006C0CFB"/>
    <w:rsid w:val="006C2970"/>
    <w:rsid w:val="006C4656"/>
    <w:rsid w:val="006C5B5A"/>
    <w:rsid w:val="006C5B96"/>
    <w:rsid w:val="006C72BD"/>
    <w:rsid w:val="006C73F2"/>
    <w:rsid w:val="006D168B"/>
    <w:rsid w:val="006D2791"/>
    <w:rsid w:val="006D4FCA"/>
    <w:rsid w:val="006D739E"/>
    <w:rsid w:val="006D7A27"/>
    <w:rsid w:val="006D7CA7"/>
    <w:rsid w:val="006E26AC"/>
    <w:rsid w:val="006E47E6"/>
    <w:rsid w:val="006E5359"/>
    <w:rsid w:val="006E56ED"/>
    <w:rsid w:val="006E590E"/>
    <w:rsid w:val="006E65F8"/>
    <w:rsid w:val="006F09EE"/>
    <w:rsid w:val="006F2A9A"/>
    <w:rsid w:val="006F4847"/>
    <w:rsid w:val="006F53D9"/>
    <w:rsid w:val="006F5D4E"/>
    <w:rsid w:val="006F6D3A"/>
    <w:rsid w:val="00701BDC"/>
    <w:rsid w:val="00702839"/>
    <w:rsid w:val="00704014"/>
    <w:rsid w:val="00704AA0"/>
    <w:rsid w:val="00705B77"/>
    <w:rsid w:val="00705C77"/>
    <w:rsid w:val="0070620A"/>
    <w:rsid w:val="00707368"/>
    <w:rsid w:val="00711E85"/>
    <w:rsid w:val="00712948"/>
    <w:rsid w:val="00714013"/>
    <w:rsid w:val="00714052"/>
    <w:rsid w:val="00714B60"/>
    <w:rsid w:val="00714C8B"/>
    <w:rsid w:val="00716D59"/>
    <w:rsid w:val="00716D60"/>
    <w:rsid w:val="007205D4"/>
    <w:rsid w:val="00720ED4"/>
    <w:rsid w:val="00721B6A"/>
    <w:rsid w:val="007223E5"/>
    <w:rsid w:val="00723748"/>
    <w:rsid w:val="00723D85"/>
    <w:rsid w:val="00723F9B"/>
    <w:rsid w:val="00724B44"/>
    <w:rsid w:val="0072570A"/>
    <w:rsid w:val="00730828"/>
    <w:rsid w:val="0073164F"/>
    <w:rsid w:val="00732823"/>
    <w:rsid w:val="00732B9F"/>
    <w:rsid w:val="007334B1"/>
    <w:rsid w:val="00733905"/>
    <w:rsid w:val="00734C68"/>
    <w:rsid w:val="00735D22"/>
    <w:rsid w:val="00735E46"/>
    <w:rsid w:val="00740370"/>
    <w:rsid w:val="00742B61"/>
    <w:rsid w:val="00743069"/>
    <w:rsid w:val="00743684"/>
    <w:rsid w:val="00744B5B"/>
    <w:rsid w:val="00744E9E"/>
    <w:rsid w:val="00745365"/>
    <w:rsid w:val="00745E80"/>
    <w:rsid w:val="0074600C"/>
    <w:rsid w:val="007465A5"/>
    <w:rsid w:val="0075082F"/>
    <w:rsid w:val="007509E2"/>
    <w:rsid w:val="00751445"/>
    <w:rsid w:val="007541EF"/>
    <w:rsid w:val="00755695"/>
    <w:rsid w:val="00755EAA"/>
    <w:rsid w:val="00756841"/>
    <w:rsid w:val="00756E8F"/>
    <w:rsid w:val="00757184"/>
    <w:rsid w:val="00757686"/>
    <w:rsid w:val="007617F3"/>
    <w:rsid w:val="00761E60"/>
    <w:rsid w:val="00762C30"/>
    <w:rsid w:val="00763262"/>
    <w:rsid w:val="0076330A"/>
    <w:rsid w:val="00764096"/>
    <w:rsid w:val="0076453B"/>
    <w:rsid w:val="007662DA"/>
    <w:rsid w:val="00766D15"/>
    <w:rsid w:val="00767320"/>
    <w:rsid w:val="00767C99"/>
    <w:rsid w:val="00770EE9"/>
    <w:rsid w:val="0077110A"/>
    <w:rsid w:val="00772455"/>
    <w:rsid w:val="00772600"/>
    <w:rsid w:val="00773F58"/>
    <w:rsid w:val="007752AF"/>
    <w:rsid w:val="00776366"/>
    <w:rsid w:val="00777789"/>
    <w:rsid w:val="00780ED7"/>
    <w:rsid w:val="00782CAC"/>
    <w:rsid w:val="00783A19"/>
    <w:rsid w:val="007842F6"/>
    <w:rsid w:val="00784342"/>
    <w:rsid w:val="00784835"/>
    <w:rsid w:val="007876C2"/>
    <w:rsid w:val="0078770D"/>
    <w:rsid w:val="00790DBB"/>
    <w:rsid w:val="00790F82"/>
    <w:rsid w:val="00791C64"/>
    <w:rsid w:val="00791F5F"/>
    <w:rsid w:val="00793C4E"/>
    <w:rsid w:val="0079654B"/>
    <w:rsid w:val="007A06A3"/>
    <w:rsid w:val="007A0FE6"/>
    <w:rsid w:val="007A14AD"/>
    <w:rsid w:val="007A1C51"/>
    <w:rsid w:val="007A62D9"/>
    <w:rsid w:val="007A7876"/>
    <w:rsid w:val="007A7F8C"/>
    <w:rsid w:val="007B31D1"/>
    <w:rsid w:val="007B3741"/>
    <w:rsid w:val="007B4676"/>
    <w:rsid w:val="007B74F9"/>
    <w:rsid w:val="007C0828"/>
    <w:rsid w:val="007C0FC3"/>
    <w:rsid w:val="007C1492"/>
    <w:rsid w:val="007C3454"/>
    <w:rsid w:val="007C418B"/>
    <w:rsid w:val="007C42D5"/>
    <w:rsid w:val="007C42F8"/>
    <w:rsid w:val="007C43F4"/>
    <w:rsid w:val="007C4E56"/>
    <w:rsid w:val="007D01CD"/>
    <w:rsid w:val="007D0E76"/>
    <w:rsid w:val="007D158E"/>
    <w:rsid w:val="007D20AF"/>
    <w:rsid w:val="007D304D"/>
    <w:rsid w:val="007D4472"/>
    <w:rsid w:val="007D4ABD"/>
    <w:rsid w:val="007D6ADB"/>
    <w:rsid w:val="007D709F"/>
    <w:rsid w:val="007D71B0"/>
    <w:rsid w:val="007D7850"/>
    <w:rsid w:val="007E0086"/>
    <w:rsid w:val="007E0F40"/>
    <w:rsid w:val="007E144A"/>
    <w:rsid w:val="007E23FD"/>
    <w:rsid w:val="007E2A7C"/>
    <w:rsid w:val="007E3909"/>
    <w:rsid w:val="007E3ED6"/>
    <w:rsid w:val="007E607C"/>
    <w:rsid w:val="007F1A3B"/>
    <w:rsid w:val="007F1AC5"/>
    <w:rsid w:val="007F1E59"/>
    <w:rsid w:val="007F2B3A"/>
    <w:rsid w:val="007F34AA"/>
    <w:rsid w:val="007F3546"/>
    <w:rsid w:val="007F3FC5"/>
    <w:rsid w:val="007F6A1A"/>
    <w:rsid w:val="007F6EFE"/>
    <w:rsid w:val="007F7D00"/>
    <w:rsid w:val="00800FBC"/>
    <w:rsid w:val="00803542"/>
    <w:rsid w:val="00803595"/>
    <w:rsid w:val="008040FA"/>
    <w:rsid w:val="0080532B"/>
    <w:rsid w:val="008056F7"/>
    <w:rsid w:val="00805811"/>
    <w:rsid w:val="00807CCB"/>
    <w:rsid w:val="00812ACF"/>
    <w:rsid w:val="00812B5A"/>
    <w:rsid w:val="00814B89"/>
    <w:rsid w:val="00815F20"/>
    <w:rsid w:val="00816965"/>
    <w:rsid w:val="00817673"/>
    <w:rsid w:val="00822EA6"/>
    <w:rsid w:val="0082331A"/>
    <w:rsid w:val="00823536"/>
    <w:rsid w:val="00824622"/>
    <w:rsid w:val="00826297"/>
    <w:rsid w:val="00827033"/>
    <w:rsid w:val="008277AB"/>
    <w:rsid w:val="008279A5"/>
    <w:rsid w:val="008303EF"/>
    <w:rsid w:val="0083198D"/>
    <w:rsid w:val="00832124"/>
    <w:rsid w:val="0084042B"/>
    <w:rsid w:val="00841D1E"/>
    <w:rsid w:val="00841E05"/>
    <w:rsid w:val="008431E9"/>
    <w:rsid w:val="00844269"/>
    <w:rsid w:val="00845311"/>
    <w:rsid w:val="008453B8"/>
    <w:rsid w:val="008456DD"/>
    <w:rsid w:val="00846B81"/>
    <w:rsid w:val="00846DAB"/>
    <w:rsid w:val="008478E4"/>
    <w:rsid w:val="00847B9B"/>
    <w:rsid w:val="00853546"/>
    <w:rsid w:val="00855090"/>
    <w:rsid w:val="00855C9F"/>
    <w:rsid w:val="00855EB8"/>
    <w:rsid w:val="0085703D"/>
    <w:rsid w:val="0085735F"/>
    <w:rsid w:val="00861118"/>
    <w:rsid w:val="0086156A"/>
    <w:rsid w:val="00862335"/>
    <w:rsid w:val="0086459A"/>
    <w:rsid w:val="00864706"/>
    <w:rsid w:val="00864F6B"/>
    <w:rsid w:val="00866A46"/>
    <w:rsid w:val="00866CFF"/>
    <w:rsid w:val="00870282"/>
    <w:rsid w:val="0087030B"/>
    <w:rsid w:val="0087059A"/>
    <w:rsid w:val="00870F9B"/>
    <w:rsid w:val="00873450"/>
    <w:rsid w:val="00873EF4"/>
    <w:rsid w:val="0087623D"/>
    <w:rsid w:val="008764E5"/>
    <w:rsid w:val="0087721E"/>
    <w:rsid w:val="00880F09"/>
    <w:rsid w:val="0088141A"/>
    <w:rsid w:val="00882356"/>
    <w:rsid w:val="0088285B"/>
    <w:rsid w:val="008839A5"/>
    <w:rsid w:val="00884D6A"/>
    <w:rsid w:val="00885BB9"/>
    <w:rsid w:val="00885CD0"/>
    <w:rsid w:val="00887F12"/>
    <w:rsid w:val="00891C1B"/>
    <w:rsid w:val="00892240"/>
    <w:rsid w:val="00893004"/>
    <w:rsid w:val="00897BA3"/>
    <w:rsid w:val="008A0813"/>
    <w:rsid w:val="008A0BE0"/>
    <w:rsid w:val="008A2077"/>
    <w:rsid w:val="008A2C2E"/>
    <w:rsid w:val="008A30DB"/>
    <w:rsid w:val="008A3993"/>
    <w:rsid w:val="008A45C3"/>
    <w:rsid w:val="008A574C"/>
    <w:rsid w:val="008A5F1C"/>
    <w:rsid w:val="008A6BBC"/>
    <w:rsid w:val="008A6D33"/>
    <w:rsid w:val="008B05FA"/>
    <w:rsid w:val="008B082C"/>
    <w:rsid w:val="008B0876"/>
    <w:rsid w:val="008B2926"/>
    <w:rsid w:val="008B4516"/>
    <w:rsid w:val="008B45E5"/>
    <w:rsid w:val="008B5137"/>
    <w:rsid w:val="008B5619"/>
    <w:rsid w:val="008B666F"/>
    <w:rsid w:val="008B68D6"/>
    <w:rsid w:val="008B6FE4"/>
    <w:rsid w:val="008B72DB"/>
    <w:rsid w:val="008B773E"/>
    <w:rsid w:val="008C03FE"/>
    <w:rsid w:val="008C0479"/>
    <w:rsid w:val="008C0A55"/>
    <w:rsid w:val="008C1647"/>
    <w:rsid w:val="008C16CE"/>
    <w:rsid w:val="008C36B8"/>
    <w:rsid w:val="008C4926"/>
    <w:rsid w:val="008C4D37"/>
    <w:rsid w:val="008C63EE"/>
    <w:rsid w:val="008D3489"/>
    <w:rsid w:val="008D5469"/>
    <w:rsid w:val="008D5A66"/>
    <w:rsid w:val="008D67AE"/>
    <w:rsid w:val="008D6C44"/>
    <w:rsid w:val="008D7E04"/>
    <w:rsid w:val="008E011B"/>
    <w:rsid w:val="008E3B79"/>
    <w:rsid w:val="008E3FFE"/>
    <w:rsid w:val="008E5AEE"/>
    <w:rsid w:val="008E6263"/>
    <w:rsid w:val="008E656A"/>
    <w:rsid w:val="008E6E21"/>
    <w:rsid w:val="008E7128"/>
    <w:rsid w:val="008E7408"/>
    <w:rsid w:val="008F0AB8"/>
    <w:rsid w:val="008F20F2"/>
    <w:rsid w:val="008F3591"/>
    <w:rsid w:val="008F6881"/>
    <w:rsid w:val="008F6AFC"/>
    <w:rsid w:val="008F6CE3"/>
    <w:rsid w:val="008F6EC8"/>
    <w:rsid w:val="008F743B"/>
    <w:rsid w:val="0090020D"/>
    <w:rsid w:val="009027AD"/>
    <w:rsid w:val="00904673"/>
    <w:rsid w:val="00905E10"/>
    <w:rsid w:val="0090624D"/>
    <w:rsid w:val="00906B2D"/>
    <w:rsid w:val="00906CA7"/>
    <w:rsid w:val="00907C6C"/>
    <w:rsid w:val="0091244A"/>
    <w:rsid w:val="00914106"/>
    <w:rsid w:val="00914758"/>
    <w:rsid w:val="0091515C"/>
    <w:rsid w:val="00915CBC"/>
    <w:rsid w:val="00916534"/>
    <w:rsid w:val="00917746"/>
    <w:rsid w:val="0092072B"/>
    <w:rsid w:val="009249CA"/>
    <w:rsid w:val="00925166"/>
    <w:rsid w:val="009260D8"/>
    <w:rsid w:val="009267DD"/>
    <w:rsid w:val="00927941"/>
    <w:rsid w:val="00930B7A"/>
    <w:rsid w:val="00932564"/>
    <w:rsid w:val="00933560"/>
    <w:rsid w:val="009340CF"/>
    <w:rsid w:val="009351A7"/>
    <w:rsid w:val="00936F60"/>
    <w:rsid w:val="009372DD"/>
    <w:rsid w:val="0093763E"/>
    <w:rsid w:val="009404B0"/>
    <w:rsid w:val="00940FC6"/>
    <w:rsid w:val="0094116D"/>
    <w:rsid w:val="00942056"/>
    <w:rsid w:val="00943253"/>
    <w:rsid w:val="0094398A"/>
    <w:rsid w:val="00943B2B"/>
    <w:rsid w:val="00943E9F"/>
    <w:rsid w:val="00945942"/>
    <w:rsid w:val="00950E62"/>
    <w:rsid w:val="0095231C"/>
    <w:rsid w:val="009528C9"/>
    <w:rsid w:val="00953577"/>
    <w:rsid w:val="00953F6F"/>
    <w:rsid w:val="00955243"/>
    <w:rsid w:val="009578FB"/>
    <w:rsid w:val="00957962"/>
    <w:rsid w:val="00957A35"/>
    <w:rsid w:val="00957AAB"/>
    <w:rsid w:val="009618CF"/>
    <w:rsid w:val="00961BFA"/>
    <w:rsid w:val="00963586"/>
    <w:rsid w:val="009653BA"/>
    <w:rsid w:val="009662F7"/>
    <w:rsid w:val="00966889"/>
    <w:rsid w:val="00967F23"/>
    <w:rsid w:val="00970D15"/>
    <w:rsid w:val="00971D41"/>
    <w:rsid w:val="00971F31"/>
    <w:rsid w:val="00972238"/>
    <w:rsid w:val="00972C8F"/>
    <w:rsid w:val="00974739"/>
    <w:rsid w:val="00974E0F"/>
    <w:rsid w:val="009755C5"/>
    <w:rsid w:val="009843A3"/>
    <w:rsid w:val="009861E0"/>
    <w:rsid w:val="00986457"/>
    <w:rsid w:val="009908DA"/>
    <w:rsid w:val="00991489"/>
    <w:rsid w:val="00992534"/>
    <w:rsid w:val="0099445C"/>
    <w:rsid w:val="009948A8"/>
    <w:rsid w:val="00994CE6"/>
    <w:rsid w:val="00995595"/>
    <w:rsid w:val="00996CA6"/>
    <w:rsid w:val="00997624"/>
    <w:rsid w:val="009A5A85"/>
    <w:rsid w:val="009A60B5"/>
    <w:rsid w:val="009B1958"/>
    <w:rsid w:val="009B2B14"/>
    <w:rsid w:val="009B36C8"/>
    <w:rsid w:val="009B6954"/>
    <w:rsid w:val="009C0106"/>
    <w:rsid w:val="009C1060"/>
    <w:rsid w:val="009C38F9"/>
    <w:rsid w:val="009C3E07"/>
    <w:rsid w:val="009C628B"/>
    <w:rsid w:val="009C711F"/>
    <w:rsid w:val="009D08CE"/>
    <w:rsid w:val="009D131A"/>
    <w:rsid w:val="009D1AFC"/>
    <w:rsid w:val="009D2275"/>
    <w:rsid w:val="009D3794"/>
    <w:rsid w:val="009D3EC3"/>
    <w:rsid w:val="009D4065"/>
    <w:rsid w:val="009D46AA"/>
    <w:rsid w:val="009D489E"/>
    <w:rsid w:val="009D4A48"/>
    <w:rsid w:val="009D4E41"/>
    <w:rsid w:val="009D5849"/>
    <w:rsid w:val="009D657B"/>
    <w:rsid w:val="009E0631"/>
    <w:rsid w:val="009E2207"/>
    <w:rsid w:val="009E2681"/>
    <w:rsid w:val="009E3387"/>
    <w:rsid w:val="009E33DE"/>
    <w:rsid w:val="009E42DF"/>
    <w:rsid w:val="009E5893"/>
    <w:rsid w:val="009E58F4"/>
    <w:rsid w:val="009E7D7E"/>
    <w:rsid w:val="009F1E2A"/>
    <w:rsid w:val="009F2A83"/>
    <w:rsid w:val="009F4875"/>
    <w:rsid w:val="009F7C4F"/>
    <w:rsid w:val="00A01E0B"/>
    <w:rsid w:val="00A07497"/>
    <w:rsid w:val="00A108F0"/>
    <w:rsid w:val="00A11044"/>
    <w:rsid w:val="00A11B48"/>
    <w:rsid w:val="00A126B8"/>
    <w:rsid w:val="00A12E6E"/>
    <w:rsid w:val="00A12F7D"/>
    <w:rsid w:val="00A14CD6"/>
    <w:rsid w:val="00A159ED"/>
    <w:rsid w:val="00A16439"/>
    <w:rsid w:val="00A242DC"/>
    <w:rsid w:val="00A24596"/>
    <w:rsid w:val="00A246E8"/>
    <w:rsid w:val="00A25EC4"/>
    <w:rsid w:val="00A268A0"/>
    <w:rsid w:val="00A305F6"/>
    <w:rsid w:val="00A30DFB"/>
    <w:rsid w:val="00A31A78"/>
    <w:rsid w:val="00A32934"/>
    <w:rsid w:val="00A32F36"/>
    <w:rsid w:val="00A336B6"/>
    <w:rsid w:val="00A34493"/>
    <w:rsid w:val="00A34884"/>
    <w:rsid w:val="00A3587D"/>
    <w:rsid w:val="00A409CE"/>
    <w:rsid w:val="00A41CD9"/>
    <w:rsid w:val="00A41CEA"/>
    <w:rsid w:val="00A4248F"/>
    <w:rsid w:val="00A4287C"/>
    <w:rsid w:val="00A433E0"/>
    <w:rsid w:val="00A43426"/>
    <w:rsid w:val="00A44621"/>
    <w:rsid w:val="00A45441"/>
    <w:rsid w:val="00A454B6"/>
    <w:rsid w:val="00A468A6"/>
    <w:rsid w:val="00A5017F"/>
    <w:rsid w:val="00A538DD"/>
    <w:rsid w:val="00A53A35"/>
    <w:rsid w:val="00A53A47"/>
    <w:rsid w:val="00A5426F"/>
    <w:rsid w:val="00A544AF"/>
    <w:rsid w:val="00A549BE"/>
    <w:rsid w:val="00A54D53"/>
    <w:rsid w:val="00A554B2"/>
    <w:rsid w:val="00A568A7"/>
    <w:rsid w:val="00A5772F"/>
    <w:rsid w:val="00A57A09"/>
    <w:rsid w:val="00A57B24"/>
    <w:rsid w:val="00A614D2"/>
    <w:rsid w:val="00A61C17"/>
    <w:rsid w:val="00A62999"/>
    <w:rsid w:val="00A63B42"/>
    <w:rsid w:val="00A63CE7"/>
    <w:rsid w:val="00A643AB"/>
    <w:rsid w:val="00A6446B"/>
    <w:rsid w:val="00A65F46"/>
    <w:rsid w:val="00A66657"/>
    <w:rsid w:val="00A71761"/>
    <w:rsid w:val="00A71F14"/>
    <w:rsid w:val="00A72414"/>
    <w:rsid w:val="00A72E9B"/>
    <w:rsid w:val="00A73486"/>
    <w:rsid w:val="00A738A6"/>
    <w:rsid w:val="00A73BA1"/>
    <w:rsid w:val="00A77AA2"/>
    <w:rsid w:val="00A80214"/>
    <w:rsid w:val="00A80696"/>
    <w:rsid w:val="00A81D3D"/>
    <w:rsid w:val="00A82709"/>
    <w:rsid w:val="00A84691"/>
    <w:rsid w:val="00A8470D"/>
    <w:rsid w:val="00A85433"/>
    <w:rsid w:val="00A90B3D"/>
    <w:rsid w:val="00A92560"/>
    <w:rsid w:val="00A929FF"/>
    <w:rsid w:val="00A93300"/>
    <w:rsid w:val="00A93922"/>
    <w:rsid w:val="00A943E6"/>
    <w:rsid w:val="00A9563C"/>
    <w:rsid w:val="00A95749"/>
    <w:rsid w:val="00A964CA"/>
    <w:rsid w:val="00A96932"/>
    <w:rsid w:val="00A96A46"/>
    <w:rsid w:val="00A96AEF"/>
    <w:rsid w:val="00AA1513"/>
    <w:rsid w:val="00AA195E"/>
    <w:rsid w:val="00AA2B4D"/>
    <w:rsid w:val="00AA330E"/>
    <w:rsid w:val="00AA4630"/>
    <w:rsid w:val="00AA60E4"/>
    <w:rsid w:val="00AB31E6"/>
    <w:rsid w:val="00AB5723"/>
    <w:rsid w:val="00AB683D"/>
    <w:rsid w:val="00AB7F0C"/>
    <w:rsid w:val="00AC1400"/>
    <w:rsid w:val="00AC2490"/>
    <w:rsid w:val="00AC321D"/>
    <w:rsid w:val="00AC3C6C"/>
    <w:rsid w:val="00AC70CE"/>
    <w:rsid w:val="00AC776D"/>
    <w:rsid w:val="00AD1384"/>
    <w:rsid w:val="00AD2F27"/>
    <w:rsid w:val="00AD37AA"/>
    <w:rsid w:val="00AD3D3B"/>
    <w:rsid w:val="00AD4515"/>
    <w:rsid w:val="00AD4C63"/>
    <w:rsid w:val="00AE0E28"/>
    <w:rsid w:val="00AE2D23"/>
    <w:rsid w:val="00AE3CC9"/>
    <w:rsid w:val="00AE4EEC"/>
    <w:rsid w:val="00AE50C1"/>
    <w:rsid w:val="00AE5275"/>
    <w:rsid w:val="00AE5A11"/>
    <w:rsid w:val="00AE649D"/>
    <w:rsid w:val="00AE69FD"/>
    <w:rsid w:val="00AE6F73"/>
    <w:rsid w:val="00AF054A"/>
    <w:rsid w:val="00AF16AB"/>
    <w:rsid w:val="00AF22D9"/>
    <w:rsid w:val="00AF2EE1"/>
    <w:rsid w:val="00AF4567"/>
    <w:rsid w:val="00AF5531"/>
    <w:rsid w:val="00AF6914"/>
    <w:rsid w:val="00B00553"/>
    <w:rsid w:val="00B0072F"/>
    <w:rsid w:val="00B016E0"/>
    <w:rsid w:val="00B02EB7"/>
    <w:rsid w:val="00B038DD"/>
    <w:rsid w:val="00B04A37"/>
    <w:rsid w:val="00B05B91"/>
    <w:rsid w:val="00B06E62"/>
    <w:rsid w:val="00B07CD8"/>
    <w:rsid w:val="00B07F1F"/>
    <w:rsid w:val="00B11752"/>
    <w:rsid w:val="00B117E0"/>
    <w:rsid w:val="00B132A2"/>
    <w:rsid w:val="00B137B3"/>
    <w:rsid w:val="00B15A4E"/>
    <w:rsid w:val="00B15A73"/>
    <w:rsid w:val="00B16285"/>
    <w:rsid w:val="00B1652C"/>
    <w:rsid w:val="00B16CCA"/>
    <w:rsid w:val="00B17B8D"/>
    <w:rsid w:val="00B20426"/>
    <w:rsid w:val="00B21D80"/>
    <w:rsid w:val="00B223CE"/>
    <w:rsid w:val="00B22E27"/>
    <w:rsid w:val="00B238E2"/>
    <w:rsid w:val="00B24CB4"/>
    <w:rsid w:val="00B27A98"/>
    <w:rsid w:val="00B27D72"/>
    <w:rsid w:val="00B302A3"/>
    <w:rsid w:val="00B307AF"/>
    <w:rsid w:val="00B30B93"/>
    <w:rsid w:val="00B329DD"/>
    <w:rsid w:val="00B33AC7"/>
    <w:rsid w:val="00B33F8F"/>
    <w:rsid w:val="00B36C70"/>
    <w:rsid w:val="00B40419"/>
    <w:rsid w:val="00B40B62"/>
    <w:rsid w:val="00B410D1"/>
    <w:rsid w:val="00B42036"/>
    <w:rsid w:val="00B42195"/>
    <w:rsid w:val="00B4226C"/>
    <w:rsid w:val="00B4275F"/>
    <w:rsid w:val="00B47341"/>
    <w:rsid w:val="00B516A3"/>
    <w:rsid w:val="00B56476"/>
    <w:rsid w:val="00B6113B"/>
    <w:rsid w:val="00B652D4"/>
    <w:rsid w:val="00B65C2D"/>
    <w:rsid w:val="00B700AA"/>
    <w:rsid w:val="00B72A1D"/>
    <w:rsid w:val="00B735B2"/>
    <w:rsid w:val="00B74786"/>
    <w:rsid w:val="00B77503"/>
    <w:rsid w:val="00B8008B"/>
    <w:rsid w:val="00B802DA"/>
    <w:rsid w:val="00B80423"/>
    <w:rsid w:val="00B80711"/>
    <w:rsid w:val="00B80EAA"/>
    <w:rsid w:val="00B8159D"/>
    <w:rsid w:val="00B81740"/>
    <w:rsid w:val="00B82B8E"/>
    <w:rsid w:val="00B82C42"/>
    <w:rsid w:val="00B82D4D"/>
    <w:rsid w:val="00B83E93"/>
    <w:rsid w:val="00B846A8"/>
    <w:rsid w:val="00B86066"/>
    <w:rsid w:val="00B86452"/>
    <w:rsid w:val="00B86DB4"/>
    <w:rsid w:val="00B879D8"/>
    <w:rsid w:val="00B87BC9"/>
    <w:rsid w:val="00B90812"/>
    <w:rsid w:val="00B909FE"/>
    <w:rsid w:val="00B941A6"/>
    <w:rsid w:val="00B95ECC"/>
    <w:rsid w:val="00BA0B32"/>
    <w:rsid w:val="00BA0CB5"/>
    <w:rsid w:val="00BA0E90"/>
    <w:rsid w:val="00BA1074"/>
    <w:rsid w:val="00BA3D97"/>
    <w:rsid w:val="00BA4E5F"/>
    <w:rsid w:val="00BA5527"/>
    <w:rsid w:val="00BA6469"/>
    <w:rsid w:val="00BA674A"/>
    <w:rsid w:val="00BA6FD4"/>
    <w:rsid w:val="00BA74DB"/>
    <w:rsid w:val="00BA7DCC"/>
    <w:rsid w:val="00BB0133"/>
    <w:rsid w:val="00BB0AD0"/>
    <w:rsid w:val="00BB2C4F"/>
    <w:rsid w:val="00BB4CD2"/>
    <w:rsid w:val="00BB5A46"/>
    <w:rsid w:val="00BB5C1A"/>
    <w:rsid w:val="00BC04A2"/>
    <w:rsid w:val="00BC0B3A"/>
    <w:rsid w:val="00BC29A6"/>
    <w:rsid w:val="00BC3C9A"/>
    <w:rsid w:val="00BC5F8A"/>
    <w:rsid w:val="00BC725F"/>
    <w:rsid w:val="00BD0A9B"/>
    <w:rsid w:val="00BD1EE5"/>
    <w:rsid w:val="00BD21D3"/>
    <w:rsid w:val="00BD411D"/>
    <w:rsid w:val="00BD4236"/>
    <w:rsid w:val="00BD489E"/>
    <w:rsid w:val="00BD4BCA"/>
    <w:rsid w:val="00BD52C2"/>
    <w:rsid w:val="00BD5332"/>
    <w:rsid w:val="00BD54BB"/>
    <w:rsid w:val="00BD628D"/>
    <w:rsid w:val="00BE0607"/>
    <w:rsid w:val="00BE0ED8"/>
    <w:rsid w:val="00BE29DD"/>
    <w:rsid w:val="00BE2EA1"/>
    <w:rsid w:val="00BE488B"/>
    <w:rsid w:val="00BE4F0A"/>
    <w:rsid w:val="00BE5A7B"/>
    <w:rsid w:val="00BF22ED"/>
    <w:rsid w:val="00BF3BBC"/>
    <w:rsid w:val="00BF3F5F"/>
    <w:rsid w:val="00BF3F72"/>
    <w:rsid w:val="00BF4AB0"/>
    <w:rsid w:val="00BF6774"/>
    <w:rsid w:val="00BF6962"/>
    <w:rsid w:val="00C00909"/>
    <w:rsid w:val="00C01152"/>
    <w:rsid w:val="00C02A85"/>
    <w:rsid w:val="00C042D0"/>
    <w:rsid w:val="00C053EA"/>
    <w:rsid w:val="00C0775B"/>
    <w:rsid w:val="00C11699"/>
    <w:rsid w:val="00C12339"/>
    <w:rsid w:val="00C125FF"/>
    <w:rsid w:val="00C1319F"/>
    <w:rsid w:val="00C13324"/>
    <w:rsid w:val="00C13D93"/>
    <w:rsid w:val="00C140B9"/>
    <w:rsid w:val="00C142F9"/>
    <w:rsid w:val="00C1477A"/>
    <w:rsid w:val="00C156B9"/>
    <w:rsid w:val="00C15BCE"/>
    <w:rsid w:val="00C1728E"/>
    <w:rsid w:val="00C23291"/>
    <w:rsid w:val="00C24C10"/>
    <w:rsid w:val="00C250A9"/>
    <w:rsid w:val="00C25F66"/>
    <w:rsid w:val="00C269A6"/>
    <w:rsid w:val="00C27BE4"/>
    <w:rsid w:val="00C30099"/>
    <w:rsid w:val="00C3233A"/>
    <w:rsid w:val="00C32894"/>
    <w:rsid w:val="00C32A53"/>
    <w:rsid w:val="00C32CE5"/>
    <w:rsid w:val="00C3331C"/>
    <w:rsid w:val="00C339FD"/>
    <w:rsid w:val="00C358A8"/>
    <w:rsid w:val="00C35931"/>
    <w:rsid w:val="00C36505"/>
    <w:rsid w:val="00C369C2"/>
    <w:rsid w:val="00C410BC"/>
    <w:rsid w:val="00C43530"/>
    <w:rsid w:val="00C4367F"/>
    <w:rsid w:val="00C43F34"/>
    <w:rsid w:val="00C4465E"/>
    <w:rsid w:val="00C50757"/>
    <w:rsid w:val="00C5129E"/>
    <w:rsid w:val="00C51992"/>
    <w:rsid w:val="00C5224D"/>
    <w:rsid w:val="00C55DF7"/>
    <w:rsid w:val="00C55E03"/>
    <w:rsid w:val="00C56CD7"/>
    <w:rsid w:val="00C56D40"/>
    <w:rsid w:val="00C57ADF"/>
    <w:rsid w:val="00C57D91"/>
    <w:rsid w:val="00C57E0B"/>
    <w:rsid w:val="00C6108C"/>
    <w:rsid w:val="00C63757"/>
    <w:rsid w:val="00C64C18"/>
    <w:rsid w:val="00C66102"/>
    <w:rsid w:val="00C67ECF"/>
    <w:rsid w:val="00C74AAB"/>
    <w:rsid w:val="00C75370"/>
    <w:rsid w:val="00C75A81"/>
    <w:rsid w:val="00C7644D"/>
    <w:rsid w:val="00C8097E"/>
    <w:rsid w:val="00C812C3"/>
    <w:rsid w:val="00C827B2"/>
    <w:rsid w:val="00C84162"/>
    <w:rsid w:val="00C84FE1"/>
    <w:rsid w:val="00C8613B"/>
    <w:rsid w:val="00C87118"/>
    <w:rsid w:val="00C87532"/>
    <w:rsid w:val="00C91081"/>
    <w:rsid w:val="00C9252C"/>
    <w:rsid w:val="00C93313"/>
    <w:rsid w:val="00C941C9"/>
    <w:rsid w:val="00C97045"/>
    <w:rsid w:val="00C97BC0"/>
    <w:rsid w:val="00CA1F1A"/>
    <w:rsid w:val="00CA4564"/>
    <w:rsid w:val="00CA5110"/>
    <w:rsid w:val="00CA59C8"/>
    <w:rsid w:val="00CA5C9F"/>
    <w:rsid w:val="00CA5D22"/>
    <w:rsid w:val="00CA671D"/>
    <w:rsid w:val="00CA6FDC"/>
    <w:rsid w:val="00CA7333"/>
    <w:rsid w:val="00CB0089"/>
    <w:rsid w:val="00CB0421"/>
    <w:rsid w:val="00CB34E0"/>
    <w:rsid w:val="00CB4EFB"/>
    <w:rsid w:val="00CB4F51"/>
    <w:rsid w:val="00CB53B7"/>
    <w:rsid w:val="00CB5A33"/>
    <w:rsid w:val="00CB6361"/>
    <w:rsid w:val="00CB66D1"/>
    <w:rsid w:val="00CB6F4E"/>
    <w:rsid w:val="00CB728A"/>
    <w:rsid w:val="00CC1707"/>
    <w:rsid w:val="00CC232B"/>
    <w:rsid w:val="00CC2E7F"/>
    <w:rsid w:val="00CC2FC8"/>
    <w:rsid w:val="00CC3481"/>
    <w:rsid w:val="00CC4995"/>
    <w:rsid w:val="00CC5DF4"/>
    <w:rsid w:val="00CC5FA2"/>
    <w:rsid w:val="00CC6B1C"/>
    <w:rsid w:val="00CC7EEC"/>
    <w:rsid w:val="00CD00EF"/>
    <w:rsid w:val="00CD06F7"/>
    <w:rsid w:val="00CD078D"/>
    <w:rsid w:val="00CD1C41"/>
    <w:rsid w:val="00CD23EE"/>
    <w:rsid w:val="00CD2515"/>
    <w:rsid w:val="00CD3B12"/>
    <w:rsid w:val="00CD59A9"/>
    <w:rsid w:val="00CD79F1"/>
    <w:rsid w:val="00CD7FB6"/>
    <w:rsid w:val="00CE11DA"/>
    <w:rsid w:val="00CE11E4"/>
    <w:rsid w:val="00CE4887"/>
    <w:rsid w:val="00CE576C"/>
    <w:rsid w:val="00CE6E9A"/>
    <w:rsid w:val="00CF34F4"/>
    <w:rsid w:val="00CF378C"/>
    <w:rsid w:val="00CF5526"/>
    <w:rsid w:val="00CF7099"/>
    <w:rsid w:val="00D01055"/>
    <w:rsid w:val="00D0287B"/>
    <w:rsid w:val="00D029D9"/>
    <w:rsid w:val="00D0316C"/>
    <w:rsid w:val="00D05AF2"/>
    <w:rsid w:val="00D064E3"/>
    <w:rsid w:val="00D07AB0"/>
    <w:rsid w:val="00D14525"/>
    <w:rsid w:val="00D14FF8"/>
    <w:rsid w:val="00D157CA"/>
    <w:rsid w:val="00D16376"/>
    <w:rsid w:val="00D17C90"/>
    <w:rsid w:val="00D17EAA"/>
    <w:rsid w:val="00D216A8"/>
    <w:rsid w:val="00D254AF"/>
    <w:rsid w:val="00D26B35"/>
    <w:rsid w:val="00D30A4C"/>
    <w:rsid w:val="00D31249"/>
    <w:rsid w:val="00D34EC9"/>
    <w:rsid w:val="00D34FD4"/>
    <w:rsid w:val="00D350CB"/>
    <w:rsid w:val="00D35F58"/>
    <w:rsid w:val="00D36324"/>
    <w:rsid w:val="00D368DC"/>
    <w:rsid w:val="00D373EC"/>
    <w:rsid w:val="00D377A7"/>
    <w:rsid w:val="00D41BB2"/>
    <w:rsid w:val="00D4206E"/>
    <w:rsid w:val="00D42A35"/>
    <w:rsid w:val="00D4324A"/>
    <w:rsid w:val="00D44BB4"/>
    <w:rsid w:val="00D45C7C"/>
    <w:rsid w:val="00D46A3C"/>
    <w:rsid w:val="00D5185F"/>
    <w:rsid w:val="00D52AA0"/>
    <w:rsid w:val="00D5345D"/>
    <w:rsid w:val="00D55C60"/>
    <w:rsid w:val="00D578F9"/>
    <w:rsid w:val="00D606A2"/>
    <w:rsid w:val="00D615FF"/>
    <w:rsid w:val="00D62139"/>
    <w:rsid w:val="00D64733"/>
    <w:rsid w:val="00D6517A"/>
    <w:rsid w:val="00D6527D"/>
    <w:rsid w:val="00D6655E"/>
    <w:rsid w:val="00D66948"/>
    <w:rsid w:val="00D6753B"/>
    <w:rsid w:val="00D677E6"/>
    <w:rsid w:val="00D67BC6"/>
    <w:rsid w:val="00D715D4"/>
    <w:rsid w:val="00D71B7B"/>
    <w:rsid w:val="00D73A17"/>
    <w:rsid w:val="00D73A30"/>
    <w:rsid w:val="00D73EFE"/>
    <w:rsid w:val="00D752D5"/>
    <w:rsid w:val="00D7676E"/>
    <w:rsid w:val="00D779E8"/>
    <w:rsid w:val="00D801BB"/>
    <w:rsid w:val="00D81867"/>
    <w:rsid w:val="00D85379"/>
    <w:rsid w:val="00D9049A"/>
    <w:rsid w:val="00D90A16"/>
    <w:rsid w:val="00D91176"/>
    <w:rsid w:val="00D9319D"/>
    <w:rsid w:val="00D941FE"/>
    <w:rsid w:val="00D971EF"/>
    <w:rsid w:val="00DA00ED"/>
    <w:rsid w:val="00DA0760"/>
    <w:rsid w:val="00DA1A07"/>
    <w:rsid w:val="00DA263A"/>
    <w:rsid w:val="00DA296C"/>
    <w:rsid w:val="00DA37C5"/>
    <w:rsid w:val="00DA51E2"/>
    <w:rsid w:val="00DA55CA"/>
    <w:rsid w:val="00DB0490"/>
    <w:rsid w:val="00DB16EC"/>
    <w:rsid w:val="00DB17E2"/>
    <w:rsid w:val="00DB23C8"/>
    <w:rsid w:val="00DB3B93"/>
    <w:rsid w:val="00DB48A5"/>
    <w:rsid w:val="00DB55A4"/>
    <w:rsid w:val="00DB62BF"/>
    <w:rsid w:val="00DB6BF8"/>
    <w:rsid w:val="00DB6C04"/>
    <w:rsid w:val="00DC28B3"/>
    <w:rsid w:val="00DC2B11"/>
    <w:rsid w:val="00DC32B4"/>
    <w:rsid w:val="00DC6B04"/>
    <w:rsid w:val="00DD017A"/>
    <w:rsid w:val="00DD0922"/>
    <w:rsid w:val="00DD1F5B"/>
    <w:rsid w:val="00DD32BF"/>
    <w:rsid w:val="00DD5B69"/>
    <w:rsid w:val="00DE014F"/>
    <w:rsid w:val="00DE08CE"/>
    <w:rsid w:val="00DE0BA8"/>
    <w:rsid w:val="00DE16BB"/>
    <w:rsid w:val="00DE1CAB"/>
    <w:rsid w:val="00DE241C"/>
    <w:rsid w:val="00DE26D0"/>
    <w:rsid w:val="00DE2A39"/>
    <w:rsid w:val="00DE2CC4"/>
    <w:rsid w:val="00DE3DF4"/>
    <w:rsid w:val="00DE4894"/>
    <w:rsid w:val="00DE4926"/>
    <w:rsid w:val="00DE73D2"/>
    <w:rsid w:val="00DF0CAB"/>
    <w:rsid w:val="00DF16D5"/>
    <w:rsid w:val="00DF1D4F"/>
    <w:rsid w:val="00DF43B7"/>
    <w:rsid w:val="00DF5710"/>
    <w:rsid w:val="00DF670D"/>
    <w:rsid w:val="00DF7880"/>
    <w:rsid w:val="00DF7EA7"/>
    <w:rsid w:val="00E003AA"/>
    <w:rsid w:val="00E039C8"/>
    <w:rsid w:val="00E03A6E"/>
    <w:rsid w:val="00E04AA4"/>
    <w:rsid w:val="00E04BDD"/>
    <w:rsid w:val="00E05DB9"/>
    <w:rsid w:val="00E067EE"/>
    <w:rsid w:val="00E0711D"/>
    <w:rsid w:val="00E07181"/>
    <w:rsid w:val="00E10887"/>
    <w:rsid w:val="00E11E89"/>
    <w:rsid w:val="00E14EE6"/>
    <w:rsid w:val="00E17838"/>
    <w:rsid w:val="00E20143"/>
    <w:rsid w:val="00E20FC6"/>
    <w:rsid w:val="00E21E14"/>
    <w:rsid w:val="00E21FC0"/>
    <w:rsid w:val="00E2401D"/>
    <w:rsid w:val="00E2516C"/>
    <w:rsid w:val="00E256B7"/>
    <w:rsid w:val="00E27EB7"/>
    <w:rsid w:val="00E30631"/>
    <w:rsid w:val="00E31BD5"/>
    <w:rsid w:val="00E3215A"/>
    <w:rsid w:val="00E32C1A"/>
    <w:rsid w:val="00E3332E"/>
    <w:rsid w:val="00E3409E"/>
    <w:rsid w:val="00E346B2"/>
    <w:rsid w:val="00E3500B"/>
    <w:rsid w:val="00E35CAE"/>
    <w:rsid w:val="00E36D7D"/>
    <w:rsid w:val="00E37A75"/>
    <w:rsid w:val="00E4077E"/>
    <w:rsid w:val="00E45701"/>
    <w:rsid w:val="00E45D5F"/>
    <w:rsid w:val="00E45F16"/>
    <w:rsid w:val="00E46B14"/>
    <w:rsid w:val="00E560BA"/>
    <w:rsid w:val="00E5613E"/>
    <w:rsid w:val="00E561EF"/>
    <w:rsid w:val="00E60513"/>
    <w:rsid w:val="00E60575"/>
    <w:rsid w:val="00E60BF9"/>
    <w:rsid w:val="00E60E9B"/>
    <w:rsid w:val="00E61513"/>
    <w:rsid w:val="00E6234E"/>
    <w:rsid w:val="00E641CF"/>
    <w:rsid w:val="00E64B7C"/>
    <w:rsid w:val="00E652CF"/>
    <w:rsid w:val="00E67845"/>
    <w:rsid w:val="00E71B99"/>
    <w:rsid w:val="00E71D63"/>
    <w:rsid w:val="00E71F9D"/>
    <w:rsid w:val="00E732A8"/>
    <w:rsid w:val="00E73F53"/>
    <w:rsid w:val="00E75643"/>
    <w:rsid w:val="00E75A34"/>
    <w:rsid w:val="00E766FC"/>
    <w:rsid w:val="00E76D91"/>
    <w:rsid w:val="00E772A6"/>
    <w:rsid w:val="00E77409"/>
    <w:rsid w:val="00E82052"/>
    <w:rsid w:val="00E83D5B"/>
    <w:rsid w:val="00E86217"/>
    <w:rsid w:val="00E90563"/>
    <w:rsid w:val="00E91C70"/>
    <w:rsid w:val="00E937F6"/>
    <w:rsid w:val="00E94006"/>
    <w:rsid w:val="00E96837"/>
    <w:rsid w:val="00EA00A4"/>
    <w:rsid w:val="00EA0C29"/>
    <w:rsid w:val="00EA137B"/>
    <w:rsid w:val="00EA236A"/>
    <w:rsid w:val="00EA23CD"/>
    <w:rsid w:val="00EA3FEF"/>
    <w:rsid w:val="00EA4398"/>
    <w:rsid w:val="00EB08A2"/>
    <w:rsid w:val="00EB0F53"/>
    <w:rsid w:val="00EB2C44"/>
    <w:rsid w:val="00EB4739"/>
    <w:rsid w:val="00EB4A8F"/>
    <w:rsid w:val="00EC0F4E"/>
    <w:rsid w:val="00EC1000"/>
    <w:rsid w:val="00EC1617"/>
    <w:rsid w:val="00EC5193"/>
    <w:rsid w:val="00EC54DE"/>
    <w:rsid w:val="00EC6EB2"/>
    <w:rsid w:val="00EC71DA"/>
    <w:rsid w:val="00EC780F"/>
    <w:rsid w:val="00ED149D"/>
    <w:rsid w:val="00ED1B9E"/>
    <w:rsid w:val="00ED20F6"/>
    <w:rsid w:val="00ED25D6"/>
    <w:rsid w:val="00ED42A6"/>
    <w:rsid w:val="00ED4FC1"/>
    <w:rsid w:val="00ED61A1"/>
    <w:rsid w:val="00ED6EDE"/>
    <w:rsid w:val="00EE2060"/>
    <w:rsid w:val="00EE22F0"/>
    <w:rsid w:val="00EE236D"/>
    <w:rsid w:val="00EE3FB2"/>
    <w:rsid w:val="00EE4714"/>
    <w:rsid w:val="00EE4DBB"/>
    <w:rsid w:val="00EE5D7A"/>
    <w:rsid w:val="00EE7132"/>
    <w:rsid w:val="00EF45CC"/>
    <w:rsid w:val="00EF5212"/>
    <w:rsid w:val="00EF6546"/>
    <w:rsid w:val="00EF7DB0"/>
    <w:rsid w:val="00F01FA6"/>
    <w:rsid w:val="00F035FF"/>
    <w:rsid w:val="00F0445D"/>
    <w:rsid w:val="00F049E8"/>
    <w:rsid w:val="00F05A5E"/>
    <w:rsid w:val="00F065EA"/>
    <w:rsid w:val="00F106E1"/>
    <w:rsid w:val="00F117F5"/>
    <w:rsid w:val="00F118CC"/>
    <w:rsid w:val="00F11F30"/>
    <w:rsid w:val="00F13255"/>
    <w:rsid w:val="00F13D73"/>
    <w:rsid w:val="00F140D5"/>
    <w:rsid w:val="00F177B6"/>
    <w:rsid w:val="00F17A10"/>
    <w:rsid w:val="00F17C98"/>
    <w:rsid w:val="00F17D97"/>
    <w:rsid w:val="00F17FC6"/>
    <w:rsid w:val="00F20014"/>
    <w:rsid w:val="00F22017"/>
    <w:rsid w:val="00F22787"/>
    <w:rsid w:val="00F23B9B"/>
    <w:rsid w:val="00F24C3A"/>
    <w:rsid w:val="00F259D4"/>
    <w:rsid w:val="00F25BF3"/>
    <w:rsid w:val="00F25CE3"/>
    <w:rsid w:val="00F268E3"/>
    <w:rsid w:val="00F30464"/>
    <w:rsid w:val="00F31D81"/>
    <w:rsid w:val="00F32461"/>
    <w:rsid w:val="00F346A4"/>
    <w:rsid w:val="00F34FCA"/>
    <w:rsid w:val="00F378AE"/>
    <w:rsid w:val="00F40BAB"/>
    <w:rsid w:val="00F45C2A"/>
    <w:rsid w:val="00F46D79"/>
    <w:rsid w:val="00F46E8A"/>
    <w:rsid w:val="00F51206"/>
    <w:rsid w:val="00F51477"/>
    <w:rsid w:val="00F5149A"/>
    <w:rsid w:val="00F5169D"/>
    <w:rsid w:val="00F51E69"/>
    <w:rsid w:val="00F52CC7"/>
    <w:rsid w:val="00F54B62"/>
    <w:rsid w:val="00F555AA"/>
    <w:rsid w:val="00F5623F"/>
    <w:rsid w:val="00F5667B"/>
    <w:rsid w:val="00F569CC"/>
    <w:rsid w:val="00F57273"/>
    <w:rsid w:val="00F57B23"/>
    <w:rsid w:val="00F57FE9"/>
    <w:rsid w:val="00F60223"/>
    <w:rsid w:val="00F61845"/>
    <w:rsid w:val="00F625D1"/>
    <w:rsid w:val="00F6411E"/>
    <w:rsid w:val="00F64D14"/>
    <w:rsid w:val="00F64D6E"/>
    <w:rsid w:val="00F64F95"/>
    <w:rsid w:val="00F654FE"/>
    <w:rsid w:val="00F6655E"/>
    <w:rsid w:val="00F70E3B"/>
    <w:rsid w:val="00F714C9"/>
    <w:rsid w:val="00F74902"/>
    <w:rsid w:val="00F7510E"/>
    <w:rsid w:val="00F77A34"/>
    <w:rsid w:val="00F77BF7"/>
    <w:rsid w:val="00F80341"/>
    <w:rsid w:val="00F80478"/>
    <w:rsid w:val="00F844AE"/>
    <w:rsid w:val="00F852C7"/>
    <w:rsid w:val="00F865AC"/>
    <w:rsid w:val="00F91400"/>
    <w:rsid w:val="00F91DD2"/>
    <w:rsid w:val="00F927AB"/>
    <w:rsid w:val="00F92B4D"/>
    <w:rsid w:val="00F947CD"/>
    <w:rsid w:val="00F95A9D"/>
    <w:rsid w:val="00F9604A"/>
    <w:rsid w:val="00F97EE3"/>
    <w:rsid w:val="00F97FAE"/>
    <w:rsid w:val="00FA23C8"/>
    <w:rsid w:val="00FA26F3"/>
    <w:rsid w:val="00FA2DFE"/>
    <w:rsid w:val="00FA540E"/>
    <w:rsid w:val="00FA650F"/>
    <w:rsid w:val="00FA67FF"/>
    <w:rsid w:val="00FB10AA"/>
    <w:rsid w:val="00FB2F69"/>
    <w:rsid w:val="00FB5A2F"/>
    <w:rsid w:val="00FB700F"/>
    <w:rsid w:val="00FC0037"/>
    <w:rsid w:val="00FC4D94"/>
    <w:rsid w:val="00FC5CF2"/>
    <w:rsid w:val="00FC5D95"/>
    <w:rsid w:val="00FC61EC"/>
    <w:rsid w:val="00FC6730"/>
    <w:rsid w:val="00FC69F0"/>
    <w:rsid w:val="00FC7922"/>
    <w:rsid w:val="00FC795F"/>
    <w:rsid w:val="00FD02B0"/>
    <w:rsid w:val="00FD061F"/>
    <w:rsid w:val="00FD0E6D"/>
    <w:rsid w:val="00FD0EB8"/>
    <w:rsid w:val="00FD2970"/>
    <w:rsid w:val="00FD2B1A"/>
    <w:rsid w:val="00FD2E17"/>
    <w:rsid w:val="00FD2F17"/>
    <w:rsid w:val="00FD3343"/>
    <w:rsid w:val="00FD336F"/>
    <w:rsid w:val="00FD4A24"/>
    <w:rsid w:val="00FD4C9A"/>
    <w:rsid w:val="00FD4F75"/>
    <w:rsid w:val="00FD53F9"/>
    <w:rsid w:val="00FD6E6B"/>
    <w:rsid w:val="00FD7235"/>
    <w:rsid w:val="00FD7560"/>
    <w:rsid w:val="00FE1A5E"/>
    <w:rsid w:val="00FE1DB5"/>
    <w:rsid w:val="00FE2FD9"/>
    <w:rsid w:val="00FE308D"/>
    <w:rsid w:val="00FE3903"/>
    <w:rsid w:val="00FE3F99"/>
    <w:rsid w:val="00FE5443"/>
    <w:rsid w:val="00FE6444"/>
    <w:rsid w:val="00FE6F8B"/>
    <w:rsid w:val="00FF0B1D"/>
    <w:rsid w:val="00FF34A8"/>
    <w:rsid w:val="00FF41DF"/>
    <w:rsid w:val="00FF580E"/>
    <w:rsid w:val="00FF5886"/>
    <w:rsid w:val="00FF5D70"/>
    <w:rsid w:val="00FF647B"/>
    <w:rsid w:val="00FF7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AA3F"/>
  <w15:chartTrackingRefBased/>
  <w15:docId w15:val="{288E781A-7FA2-4066-A1D5-5B623791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4C8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E4D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2F"/>
    <w:pPr>
      <w:tabs>
        <w:tab w:val="center" w:pos="4680"/>
        <w:tab w:val="right" w:pos="9360"/>
      </w:tabs>
    </w:pPr>
  </w:style>
  <w:style w:type="character" w:customStyle="1" w:styleId="HeaderChar">
    <w:name w:val="Header Char"/>
    <w:basedOn w:val="DefaultParagraphFont"/>
    <w:link w:val="Header"/>
    <w:uiPriority w:val="99"/>
    <w:rsid w:val="0054172F"/>
  </w:style>
  <w:style w:type="paragraph" w:styleId="Footer">
    <w:name w:val="footer"/>
    <w:basedOn w:val="Normal"/>
    <w:link w:val="FooterChar"/>
    <w:uiPriority w:val="99"/>
    <w:unhideWhenUsed/>
    <w:rsid w:val="0054172F"/>
    <w:pPr>
      <w:tabs>
        <w:tab w:val="center" w:pos="4680"/>
        <w:tab w:val="right" w:pos="9360"/>
      </w:tabs>
    </w:pPr>
  </w:style>
  <w:style w:type="character" w:customStyle="1" w:styleId="FooterChar">
    <w:name w:val="Footer Char"/>
    <w:basedOn w:val="DefaultParagraphFont"/>
    <w:link w:val="Footer"/>
    <w:uiPriority w:val="99"/>
    <w:rsid w:val="0054172F"/>
  </w:style>
  <w:style w:type="paragraph" w:styleId="BalloonText">
    <w:name w:val="Balloon Text"/>
    <w:basedOn w:val="Normal"/>
    <w:link w:val="BalloonTextChar"/>
    <w:uiPriority w:val="99"/>
    <w:semiHidden/>
    <w:unhideWhenUsed/>
    <w:rsid w:val="005417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72F"/>
    <w:rPr>
      <w:rFonts w:ascii="Times New Roman" w:hAnsi="Times New Roman" w:cs="Times New Roman"/>
      <w:sz w:val="18"/>
      <w:szCs w:val="18"/>
    </w:rPr>
  </w:style>
  <w:style w:type="table" w:styleId="TableGrid">
    <w:name w:val="Table Grid"/>
    <w:basedOn w:val="TableNormal"/>
    <w:uiPriority w:val="59"/>
    <w:rsid w:val="0035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77187"/>
  </w:style>
  <w:style w:type="paragraph" w:styleId="ListParagraph">
    <w:name w:val="List Paragraph"/>
    <w:aliases w:val="EX Bullet"/>
    <w:basedOn w:val="Normal"/>
    <w:link w:val="ListParagraphChar"/>
    <w:uiPriority w:val="34"/>
    <w:qFormat/>
    <w:rsid w:val="00A45441"/>
    <w:pPr>
      <w:ind w:left="720"/>
      <w:contextualSpacing/>
    </w:pPr>
  </w:style>
  <w:style w:type="character" w:styleId="Hyperlink">
    <w:name w:val="Hyperlink"/>
    <w:basedOn w:val="DefaultParagraphFont"/>
    <w:uiPriority w:val="99"/>
    <w:unhideWhenUsed/>
    <w:rsid w:val="004B12ED"/>
    <w:rPr>
      <w:color w:val="0563C1" w:themeColor="hyperlink"/>
      <w:u w:val="single"/>
    </w:rPr>
  </w:style>
  <w:style w:type="character" w:styleId="UnresolvedMention">
    <w:name w:val="Unresolved Mention"/>
    <w:basedOn w:val="DefaultParagraphFont"/>
    <w:uiPriority w:val="99"/>
    <w:semiHidden/>
    <w:unhideWhenUsed/>
    <w:rsid w:val="004B12ED"/>
    <w:rPr>
      <w:color w:val="605E5C"/>
      <w:shd w:val="clear" w:color="auto" w:fill="E1DFDD"/>
    </w:rPr>
  </w:style>
  <w:style w:type="character" w:customStyle="1" w:styleId="ListParagraphChar">
    <w:name w:val="List Paragraph Char"/>
    <w:aliases w:val="EX Bullet Char"/>
    <w:link w:val="ListParagraph"/>
    <w:uiPriority w:val="34"/>
    <w:locked/>
    <w:rsid w:val="002931ED"/>
  </w:style>
  <w:style w:type="paragraph" w:customStyle="1" w:styleId="DehPressRelease">
    <w:name w:val="Deh_Press_Release"/>
    <w:basedOn w:val="Normal"/>
    <w:link w:val="DehPressReleaseChar"/>
    <w:qFormat/>
    <w:rsid w:val="004E7CE8"/>
    <w:pPr>
      <w:spacing w:after="160" w:line="259" w:lineRule="auto"/>
    </w:pPr>
    <w:rPr>
      <w:rFonts w:ascii="Ping LCG Regular" w:hAnsi="Ping LCG Regular"/>
      <w:sz w:val="22"/>
      <w:szCs w:val="28"/>
      <w:lang w:val="el-GR"/>
    </w:rPr>
  </w:style>
  <w:style w:type="character" w:customStyle="1" w:styleId="DehPressReleaseChar">
    <w:name w:val="Deh_Press_Release Char"/>
    <w:basedOn w:val="DefaultParagraphFont"/>
    <w:link w:val="DehPressRelease"/>
    <w:rsid w:val="004E7CE8"/>
    <w:rPr>
      <w:rFonts w:ascii="Ping LCG Regular" w:hAnsi="Ping LCG Regular"/>
      <w:sz w:val="22"/>
      <w:szCs w:val="28"/>
      <w:lang w:val="el-GR"/>
    </w:rPr>
  </w:style>
  <w:style w:type="character" w:styleId="CommentReference">
    <w:name w:val="annotation reference"/>
    <w:basedOn w:val="DefaultParagraphFont"/>
    <w:uiPriority w:val="99"/>
    <w:semiHidden/>
    <w:unhideWhenUsed/>
    <w:rsid w:val="004E7CE8"/>
    <w:rPr>
      <w:sz w:val="16"/>
      <w:szCs w:val="16"/>
    </w:rPr>
  </w:style>
  <w:style w:type="paragraph" w:styleId="CommentText">
    <w:name w:val="annotation text"/>
    <w:basedOn w:val="Normal"/>
    <w:link w:val="CommentTextChar"/>
    <w:uiPriority w:val="99"/>
    <w:unhideWhenUsed/>
    <w:rsid w:val="004E7CE8"/>
    <w:rPr>
      <w:sz w:val="20"/>
      <w:szCs w:val="20"/>
    </w:rPr>
  </w:style>
  <w:style w:type="character" w:customStyle="1" w:styleId="CommentTextChar">
    <w:name w:val="Comment Text Char"/>
    <w:basedOn w:val="DefaultParagraphFont"/>
    <w:link w:val="CommentText"/>
    <w:uiPriority w:val="99"/>
    <w:rsid w:val="004E7CE8"/>
    <w:rPr>
      <w:sz w:val="20"/>
      <w:szCs w:val="20"/>
    </w:rPr>
  </w:style>
  <w:style w:type="paragraph" w:styleId="Revision">
    <w:name w:val="Revision"/>
    <w:hidden/>
    <w:uiPriority w:val="99"/>
    <w:semiHidden/>
    <w:rsid w:val="00333A95"/>
  </w:style>
  <w:style w:type="paragraph" w:styleId="FootnoteText">
    <w:name w:val="footnote text"/>
    <w:basedOn w:val="Normal"/>
    <w:link w:val="FootnoteTextChar"/>
    <w:uiPriority w:val="99"/>
    <w:unhideWhenUsed/>
    <w:rsid w:val="00B038DD"/>
    <w:rPr>
      <w:rFonts w:ascii="Ping LCG Regular" w:hAnsi="Ping LCG Regular" w:cs="Times New Roman (Body CS)"/>
      <w:sz w:val="20"/>
      <w:szCs w:val="20"/>
    </w:rPr>
  </w:style>
  <w:style w:type="character" w:customStyle="1" w:styleId="FootnoteTextChar">
    <w:name w:val="Footnote Text Char"/>
    <w:basedOn w:val="DefaultParagraphFont"/>
    <w:link w:val="FootnoteText"/>
    <w:uiPriority w:val="99"/>
    <w:rsid w:val="00B038DD"/>
    <w:rPr>
      <w:rFonts w:ascii="Ping LCG Regular" w:hAnsi="Ping LCG Regular" w:cs="Times New Roman (Body CS)"/>
      <w:sz w:val="20"/>
      <w:szCs w:val="20"/>
    </w:rPr>
  </w:style>
  <w:style w:type="character" w:styleId="FootnoteReference">
    <w:name w:val="footnote reference"/>
    <w:basedOn w:val="DefaultParagraphFont"/>
    <w:uiPriority w:val="99"/>
    <w:unhideWhenUsed/>
    <w:rsid w:val="00B038DD"/>
    <w:rPr>
      <w:vertAlign w:val="superscript"/>
    </w:rPr>
  </w:style>
  <w:style w:type="paragraph" w:styleId="NormalWeb">
    <w:name w:val="Normal (Web)"/>
    <w:basedOn w:val="Normal"/>
    <w:uiPriority w:val="99"/>
    <w:unhideWhenUsed/>
    <w:rsid w:val="0052195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14C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0E4DC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B23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757">
      <w:bodyDiv w:val="1"/>
      <w:marLeft w:val="0"/>
      <w:marRight w:val="0"/>
      <w:marTop w:val="0"/>
      <w:marBottom w:val="0"/>
      <w:divBdr>
        <w:top w:val="none" w:sz="0" w:space="0" w:color="auto"/>
        <w:left w:val="none" w:sz="0" w:space="0" w:color="auto"/>
        <w:bottom w:val="none" w:sz="0" w:space="0" w:color="auto"/>
        <w:right w:val="none" w:sz="0" w:space="0" w:color="auto"/>
      </w:divBdr>
    </w:div>
    <w:div w:id="114370775">
      <w:bodyDiv w:val="1"/>
      <w:marLeft w:val="0"/>
      <w:marRight w:val="0"/>
      <w:marTop w:val="0"/>
      <w:marBottom w:val="0"/>
      <w:divBdr>
        <w:top w:val="none" w:sz="0" w:space="0" w:color="auto"/>
        <w:left w:val="none" w:sz="0" w:space="0" w:color="auto"/>
        <w:bottom w:val="none" w:sz="0" w:space="0" w:color="auto"/>
        <w:right w:val="none" w:sz="0" w:space="0" w:color="auto"/>
      </w:divBdr>
    </w:div>
    <w:div w:id="292055409">
      <w:bodyDiv w:val="1"/>
      <w:marLeft w:val="0"/>
      <w:marRight w:val="0"/>
      <w:marTop w:val="0"/>
      <w:marBottom w:val="0"/>
      <w:divBdr>
        <w:top w:val="none" w:sz="0" w:space="0" w:color="auto"/>
        <w:left w:val="none" w:sz="0" w:space="0" w:color="auto"/>
        <w:bottom w:val="none" w:sz="0" w:space="0" w:color="auto"/>
        <w:right w:val="none" w:sz="0" w:space="0" w:color="auto"/>
      </w:divBdr>
    </w:div>
    <w:div w:id="354501828">
      <w:bodyDiv w:val="1"/>
      <w:marLeft w:val="0"/>
      <w:marRight w:val="0"/>
      <w:marTop w:val="0"/>
      <w:marBottom w:val="0"/>
      <w:divBdr>
        <w:top w:val="none" w:sz="0" w:space="0" w:color="auto"/>
        <w:left w:val="none" w:sz="0" w:space="0" w:color="auto"/>
        <w:bottom w:val="none" w:sz="0" w:space="0" w:color="auto"/>
        <w:right w:val="none" w:sz="0" w:space="0" w:color="auto"/>
      </w:divBdr>
    </w:div>
    <w:div w:id="420415496">
      <w:bodyDiv w:val="1"/>
      <w:marLeft w:val="0"/>
      <w:marRight w:val="0"/>
      <w:marTop w:val="0"/>
      <w:marBottom w:val="0"/>
      <w:divBdr>
        <w:top w:val="none" w:sz="0" w:space="0" w:color="auto"/>
        <w:left w:val="none" w:sz="0" w:space="0" w:color="auto"/>
        <w:bottom w:val="none" w:sz="0" w:space="0" w:color="auto"/>
        <w:right w:val="none" w:sz="0" w:space="0" w:color="auto"/>
      </w:divBdr>
      <w:divsChild>
        <w:div w:id="1812558596">
          <w:marLeft w:val="0"/>
          <w:marRight w:val="0"/>
          <w:marTop w:val="0"/>
          <w:marBottom w:val="0"/>
          <w:divBdr>
            <w:top w:val="none" w:sz="0" w:space="0" w:color="auto"/>
            <w:left w:val="none" w:sz="0" w:space="0" w:color="auto"/>
            <w:bottom w:val="none" w:sz="0" w:space="0" w:color="auto"/>
            <w:right w:val="none" w:sz="0" w:space="0" w:color="auto"/>
          </w:divBdr>
        </w:div>
      </w:divsChild>
    </w:div>
    <w:div w:id="568806389">
      <w:bodyDiv w:val="1"/>
      <w:marLeft w:val="0"/>
      <w:marRight w:val="0"/>
      <w:marTop w:val="0"/>
      <w:marBottom w:val="0"/>
      <w:divBdr>
        <w:top w:val="none" w:sz="0" w:space="0" w:color="auto"/>
        <w:left w:val="none" w:sz="0" w:space="0" w:color="auto"/>
        <w:bottom w:val="none" w:sz="0" w:space="0" w:color="auto"/>
        <w:right w:val="none" w:sz="0" w:space="0" w:color="auto"/>
      </w:divBdr>
    </w:div>
    <w:div w:id="699743875">
      <w:bodyDiv w:val="1"/>
      <w:marLeft w:val="0"/>
      <w:marRight w:val="0"/>
      <w:marTop w:val="0"/>
      <w:marBottom w:val="0"/>
      <w:divBdr>
        <w:top w:val="none" w:sz="0" w:space="0" w:color="auto"/>
        <w:left w:val="none" w:sz="0" w:space="0" w:color="auto"/>
        <w:bottom w:val="none" w:sz="0" w:space="0" w:color="auto"/>
        <w:right w:val="none" w:sz="0" w:space="0" w:color="auto"/>
      </w:divBdr>
    </w:div>
    <w:div w:id="784618012">
      <w:bodyDiv w:val="1"/>
      <w:marLeft w:val="0"/>
      <w:marRight w:val="0"/>
      <w:marTop w:val="0"/>
      <w:marBottom w:val="0"/>
      <w:divBdr>
        <w:top w:val="none" w:sz="0" w:space="0" w:color="auto"/>
        <w:left w:val="none" w:sz="0" w:space="0" w:color="auto"/>
        <w:bottom w:val="none" w:sz="0" w:space="0" w:color="auto"/>
        <w:right w:val="none" w:sz="0" w:space="0" w:color="auto"/>
      </w:divBdr>
    </w:div>
    <w:div w:id="885221275">
      <w:bodyDiv w:val="1"/>
      <w:marLeft w:val="0"/>
      <w:marRight w:val="0"/>
      <w:marTop w:val="0"/>
      <w:marBottom w:val="0"/>
      <w:divBdr>
        <w:top w:val="none" w:sz="0" w:space="0" w:color="auto"/>
        <w:left w:val="none" w:sz="0" w:space="0" w:color="auto"/>
        <w:bottom w:val="none" w:sz="0" w:space="0" w:color="auto"/>
        <w:right w:val="none" w:sz="0" w:space="0" w:color="auto"/>
      </w:divBdr>
    </w:div>
    <w:div w:id="933248448">
      <w:bodyDiv w:val="1"/>
      <w:marLeft w:val="0"/>
      <w:marRight w:val="0"/>
      <w:marTop w:val="0"/>
      <w:marBottom w:val="0"/>
      <w:divBdr>
        <w:top w:val="none" w:sz="0" w:space="0" w:color="auto"/>
        <w:left w:val="none" w:sz="0" w:space="0" w:color="auto"/>
        <w:bottom w:val="none" w:sz="0" w:space="0" w:color="auto"/>
        <w:right w:val="none" w:sz="0" w:space="0" w:color="auto"/>
      </w:divBdr>
    </w:div>
    <w:div w:id="1012561424">
      <w:bodyDiv w:val="1"/>
      <w:marLeft w:val="0"/>
      <w:marRight w:val="0"/>
      <w:marTop w:val="0"/>
      <w:marBottom w:val="0"/>
      <w:divBdr>
        <w:top w:val="none" w:sz="0" w:space="0" w:color="auto"/>
        <w:left w:val="none" w:sz="0" w:space="0" w:color="auto"/>
        <w:bottom w:val="none" w:sz="0" w:space="0" w:color="auto"/>
        <w:right w:val="none" w:sz="0" w:space="0" w:color="auto"/>
      </w:divBdr>
    </w:div>
    <w:div w:id="1165121455">
      <w:bodyDiv w:val="1"/>
      <w:marLeft w:val="0"/>
      <w:marRight w:val="0"/>
      <w:marTop w:val="0"/>
      <w:marBottom w:val="0"/>
      <w:divBdr>
        <w:top w:val="none" w:sz="0" w:space="0" w:color="auto"/>
        <w:left w:val="none" w:sz="0" w:space="0" w:color="auto"/>
        <w:bottom w:val="none" w:sz="0" w:space="0" w:color="auto"/>
        <w:right w:val="none" w:sz="0" w:space="0" w:color="auto"/>
      </w:divBdr>
      <w:divsChild>
        <w:div w:id="1700743929">
          <w:marLeft w:val="0"/>
          <w:marRight w:val="0"/>
          <w:marTop w:val="0"/>
          <w:marBottom w:val="0"/>
          <w:divBdr>
            <w:top w:val="none" w:sz="0" w:space="0" w:color="auto"/>
            <w:left w:val="none" w:sz="0" w:space="0" w:color="auto"/>
            <w:bottom w:val="none" w:sz="0" w:space="0" w:color="auto"/>
            <w:right w:val="none" w:sz="0" w:space="0" w:color="auto"/>
          </w:divBdr>
        </w:div>
      </w:divsChild>
    </w:div>
    <w:div w:id="1275864989">
      <w:bodyDiv w:val="1"/>
      <w:marLeft w:val="0"/>
      <w:marRight w:val="0"/>
      <w:marTop w:val="0"/>
      <w:marBottom w:val="0"/>
      <w:divBdr>
        <w:top w:val="none" w:sz="0" w:space="0" w:color="auto"/>
        <w:left w:val="none" w:sz="0" w:space="0" w:color="auto"/>
        <w:bottom w:val="none" w:sz="0" w:space="0" w:color="auto"/>
        <w:right w:val="none" w:sz="0" w:space="0" w:color="auto"/>
      </w:divBdr>
    </w:div>
    <w:div w:id="1422490449">
      <w:bodyDiv w:val="1"/>
      <w:marLeft w:val="0"/>
      <w:marRight w:val="0"/>
      <w:marTop w:val="0"/>
      <w:marBottom w:val="0"/>
      <w:divBdr>
        <w:top w:val="none" w:sz="0" w:space="0" w:color="auto"/>
        <w:left w:val="none" w:sz="0" w:space="0" w:color="auto"/>
        <w:bottom w:val="none" w:sz="0" w:space="0" w:color="auto"/>
        <w:right w:val="none" w:sz="0" w:space="0" w:color="auto"/>
      </w:divBdr>
    </w:div>
    <w:div w:id="1621296734">
      <w:bodyDiv w:val="1"/>
      <w:marLeft w:val="0"/>
      <w:marRight w:val="0"/>
      <w:marTop w:val="0"/>
      <w:marBottom w:val="0"/>
      <w:divBdr>
        <w:top w:val="none" w:sz="0" w:space="0" w:color="auto"/>
        <w:left w:val="none" w:sz="0" w:space="0" w:color="auto"/>
        <w:bottom w:val="none" w:sz="0" w:space="0" w:color="auto"/>
        <w:right w:val="none" w:sz="0" w:space="0" w:color="auto"/>
      </w:divBdr>
    </w:div>
    <w:div w:id="1871608530">
      <w:bodyDiv w:val="1"/>
      <w:marLeft w:val="0"/>
      <w:marRight w:val="0"/>
      <w:marTop w:val="0"/>
      <w:marBottom w:val="0"/>
      <w:divBdr>
        <w:top w:val="none" w:sz="0" w:space="0" w:color="auto"/>
        <w:left w:val="none" w:sz="0" w:space="0" w:color="auto"/>
        <w:bottom w:val="none" w:sz="0" w:space="0" w:color="auto"/>
        <w:right w:val="none" w:sz="0" w:space="0" w:color="auto"/>
      </w:divBdr>
    </w:div>
    <w:div w:id="2140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dei.g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r@ppc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20" ma:contentTypeDescription="Δημιουργία νέου εγγράφου" ma:contentTypeScope="" ma:versionID="e39ce4dff06c5d1501f96686d94f339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a9b3cb088f9749417b872dcdc11360e1"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e3957d-0996-4bd8-adeb-86c932f9cb50}"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414C3-897F-CA45-994C-929EB21BF4F6}">
  <ds:schemaRefs>
    <ds:schemaRef ds:uri="http://schemas.openxmlformats.org/officeDocument/2006/bibliography"/>
  </ds:schemaRefs>
</ds:datastoreItem>
</file>

<file path=customXml/itemProps2.xml><?xml version="1.0" encoding="utf-8"?>
<ds:datastoreItem xmlns:ds="http://schemas.openxmlformats.org/officeDocument/2006/customXml" ds:itemID="{0A8D2BB3-84DA-43CE-BE83-B246CCBD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E97F6-0ADB-4EED-A5EB-CFA6B4A1D925}">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4.xml><?xml version="1.0" encoding="utf-8"?>
<ds:datastoreItem xmlns:ds="http://schemas.openxmlformats.org/officeDocument/2006/customXml" ds:itemID="{60FB2FCB-7B41-4761-9AA7-76D41FD38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15</Pages>
  <Words>3045</Words>
  <Characters>16444</Characters>
  <Application>Microsoft Office Word</Application>
  <DocSecurity>0</DocSecurity>
  <Lines>137</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19451</CharactersWithSpaces>
  <SharedDoc>false</SharedDoc>
  <HLinks>
    <vt:vector size="12" baseType="variant">
      <vt:variant>
        <vt:i4>1245238</vt:i4>
      </vt:variant>
      <vt:variant>
        <vt:i4>3</vt:i4>
      </vt:variant>
      <vt:variant>
        <vt:i4>0</vt:i4>
      </vt:variant>
      <vt:variant>
        <vt:i4>5</vt:i4>
      </vt:variant>
      <vt:variant>
        <vt:lpwstr>mailto:information@dei.gr</vt:lpwstr>
      </vt:variant>
      <vt:variant>
        <vt:lpwstr/>
      </vt:variant>
      <vt:variant>
        <vt:i4>5046381</vt:i4>
      </vt:variant>
      <vt:variant>
        <vt:i4>0</vt:i4>
      </vt:variant>
      <vt:variant>
        <vt:i4>0</vt:i4>
      </vt:variant>
      <vt:variant>
        <vt:i4>5</vt:i4>
      </vt:variant>
      <vt:variant>
        <vt:lpwstr>mailto:ir@ppcgroup.com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Chatzakis Emmanouil</cp:lastModifiedBy>
  <cp:revision>230</cp:revision>
  <cp:lastPrinted>2024-05-20T10:08:00Z</cp:lastPrinted>
  <dcterms:created xsi:type="dcterms:W3CDTF">2024-05-17T08:01:00Z</dcterms:created>
  <dcterms:modified xsi:type="dcterms:W3CDTF">2024-05-20T10:30:00Z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0x010100156DD0188A2F454B943ADEE99353ADCA</vt:lpwstr>
  </property>
  <property fmtid="{D5CDD505-2E9C-101B-9397-08002B2CF9AE}" pid="3" name="MediaServiceImageTags">
    <vt:lpwstr/>
  </property>
</Properties>
</file>